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1.png" ContentType="image/png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  <w:br/>
        <w:t>высшего образования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«ФИНАНСОВЫЙ УНИВЕРСИТЕТ ПРИ ПРАВИТЕЛЬСТВЕ </w:t>
        <w:br/>
        <w:t>РОССИЙСКОЙ ФЕДЕРАЦИИ»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(Финансовый университет)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91" w:right="509" w:hanging="0"/>
        <w:jc w:val="center"/>
        <w:rPr>
          <w:rFonts w:ascii="Times New Roman" w:hAnsi="Times New Roman"/>
          <w:b/>
          <w:b/>
          <w:bCs/>
          <w:sz w:val="28"/>
          <w:szCs w:val="28"/>
          <w:lang w:bidi="hi-IN"/>
        </w:rPr>
      </w:pPr>
      <w:r>
        <w:rPr>
          <w:rFonts w:ascii="Times New Roman" w:hAnsi="Times New Roman"/>
          <w:b/>
          <w:bCs/>
          <w:sz w:val="28"/>
          <w:szCs w:val="28"/>
          <w:lang w:bidi="hi-IN"/>
        </w:rPr>
        <w:t>Уральский филиал Финуниверситета</w:t>
      </w:r>
    </w:p>
    <w:p>
      <w:pPr>
        <w:pStyle w:val="Normal"/>
        <w:ind w:left="91" w:right="509" w:hanging="0"/>
        <w:jc w:val="center"/>
        <w:rPr>
          <w:rFonts w:ascii="Times New Roman" w:hAnsi="Times New Roman"/>
          <w:b/>
          <w:b/>
          <w:bCs/>
          <w:sz w:val="28"/>
          <w:szCs w:val="28"/>
          <w:lang w:bidi="hi-IN"/>
        </w:rPr>
      </w:pPr>
      <w:r>
        <w:rPr>
          <w:rFonts w:ascii="Times New Roman" w:hAnsi="Times New Roman"/>
          <w:b/>
          <w:bCs/>
          <w:sz w:val="28"/>
          <w:szCs w:val="28"/>
          <w:lang w:bidi="hi-IN"/>
        </w:rPr>
      </w:r>
    </w:p>
    <w:p>
      <w:pPr>
        <w:pStyle w:val="Normal"/>
        <w:ind w:left="91" w:right="509" w:hanging="0"/>
        <w:jc w:val="center"/>
        <w:rPr>
          <w:rFonts w:ascii="Times New Roman" w:hAnsi="Times New Roman"/>
          <w:sz w:val="28"/>
          <w:szCs w:val="28"/>
          <w:lang w:bidi="hi-IN"/>
        </w:rPr>
      </w:pPr>
      <w:r>
        <w:rPr>
          <w:rFonts w:ascii="Times New Roman" w:hAnsi="Times New Roman"/>
          <w:sz w:val="28"/>
          <w:szCs w:val="28"/>
          <w:lang w:bidi="hi-IN"/>
        </w:rPr>
        <w:t>Кафедра «</w:t>
      </w:r>
      <w:r>
        <w:rPr>
          <w:rFonts w:ascii="Times New Roman" w:hAnsi="Times New Roman"/>
          <w:sz w:val="28"/>
          <w:szCs w:val="28"/>
        </w:rPr>
        <w:t>Социально-гуманитарных и естественно-научных дисциплин</w:t>
      </w:r>
      <w:r>
        <w:rPr>
          <w:rFonts w:ascii="Times New Roman" w:hAnsi="Times New Roman"/>
          <w:sz w:val="28"/>
          <w:szCs w:val="28"/>
          <w:lang w:bidi="hi-IN"/>
        </w:rPr>
        <w:t>»</w:t>
      </w:r>
    </w:p>
    <w:p>
      <w:pPr>
        <w:pStyle w:val="Normal"/>
        <w:spacing w:lineRule="auto" w:line="360"/>
        <w:ind w:left="91" w:right="509" w:hanging="0"/>
        <w:jc w:val="center"/>
        <w:rPr>
          <w:rFonts w:ascii="Times New Roman" w:hAnsi="Times New Roman"/>
          <w:sz w:val="28"/>
          <w:szCs w:val="28"/>
          <w:lang w:bidi="hi-IN"/>
        </w:rPr>
      </w:pPr>
      <w:r>
        <w:rPr>
          <w:rFonts w:ascii="Times New Roman" w:hAnsi="Times New Roman"/>
          <w:sz w:val="28"/>
          <w:szCs w:val="28"/>
          <w:lang w:bidi="hi-IN"/>
        </w:rPr>
      </w:r>
    </w:p>
    <w:p>
      <w:pPr>
        <w:pStyle w:val="Normal"/>
        <w:numPr>
          <w:ilvl w:val="0"/>
          <w:numId w:val="0"/>
        </w:numPr>
        <w:ind w:left="91" w:right="510" w:hanging="0"/>
        <w:jc w:val="right"/>
        <w:outlineLvl w:val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>
      <w:pPr>
        <w:pStyle w:val="Normal"/>
        <w:numPr>
          <w:ilvl w:val="0"/>
          <w:numId w:val="0"/>
        </w:numPr>
        <w:ind w:left="91" w:right="510" w:hanging="0"/>
        <w:jc w:val="right"/>
        <w:outlineLvl w:val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Уральского филиала</w:t>
      </w:r>
    </w:p>
    <w:p>
      <w:pPr>
        <w:pStyle w:val="Normal"/>
        <w:numPr>
          <w:ilvl w:val="0"/>
          <w:numId w:val="0"/>
        </w:numPr>
        <w:ind w:left="91" w:right="510" w:hanging="0"/>
        <w:jc w:val="right"/>
        <w:outlineLvl w:val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Финуниверситета</w:t>
      </w:r>
    </w:p>
    <w:p>
      <w:pPr>
        <w:pStyle w:val="Normal"/>
        <w:numPr>
          <w:ilvl w:val="0"/>
          <w:numId w:val="0"/>
        </w:numPr>
        <w:ind w:left="91" w:right="510" w:hanging="0"/>
        <w:jc w:val="right"/>
        <w:outlineLvl w:val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inline distT="0" distB="0" distL="0" distR="0">
            <wp:extent cx="1942465" cy="57277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4" t="-31" r="-14" b="-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465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numPr>
          <w:ilvl w:val="0"/>
          <w:numId w:val="0"/>
        </w:numPr>
        <w:ind w:left="91" w:right="510" w:hanging="0"/>
        <w:jc w:val="right"/>
        <w:outlineLvl w:val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Д.А. Циринг</w:t>
      </w:r>
    </w:p>
    <w:p>
      <w:pPr>
        <w:pStyle w:val="Normal"/>
        <w:numPr>
          <w:ilvl w:val="0"/>
          <w:numId w:val="0"/>
        </w:numPr>
        <w:ind w:left="91" w:right="510" w:hanging="0"/>
        <w:jc w:val="right"/>
        <w:outlineLvl w:val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февраля 2022 г.</w:t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ФОНД ОЦЕНОЧНЫХ СРЕДСТВ</w:t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133"/>
        <w:ind w:left="851" w:right="617" w:firstLine="42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дисциплине</w:t>
      </w:r>
    </w:p>
    <w:p>
      <w:pPr>
        <w:pStyle w:val="12"/>
        <w:keepNext w:val="true"/>
        <w:keepLines/>
        <w:shd w:val="clear" w:color="auto" w:fill="auto"/>
        <w:spacing w:lineRule="auto" w:line="360" w:before="0" w:after="0"/>
        <w:ind w:left="0" w:right="510"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Финансовая математика</w:t>
      </w:r>
    </w:p>
    <w:p>
      <w:pPr>
        <w:pStyle w:val="2"/>
        <w:spacing w:lineRule="auto" w:line="247" w:before="0" w:after="143"/>
        <w:ind w:left="2284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59" w:before="0" w:after="129"/>
        <w:ind w:left="91" w:right="617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35"/>
        <w:ind w:left="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студентов,  обучающихся по направлению</w:t>
      </w:r>
    </w:p>
    <w:p>
      <w:pPr>
        <w:pStyle w:val="Normal"/>
        <w:spacing w:before="0" w:after="28"/>
        <w:ind w:left="91" w:right="8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38.03.01  «Экономика»</w:t>
      </w:r>
    </w:p>
    <w:p>
      <w:pPr>
        <w:pStyle w:val="Normal"/>
        <w:ind w:left="91" w:right="8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(программа подготовки бакалавра)</w:t>
      </w:r>
    </w:p>
    <w:p>
      <w:pPr>
        <w:pStyle w:val="Normal"/>
        <w:spacing w:lineRule="auto" w:line="360"/>
        <w:jc w:val="center"/>
        <w:rPr>
          <w:rFonts w:ascii="Times New Roman" w:hAnsi="Times New Roman"/>
          <w:caps/>
          <w:sz w:val="24"/>
          <w:szCs w:val="24"/>
          <w:lang w:bidi="hi-IN"/>
        </w:rPr>
      </w:pPr>
      <w:r>
        <w:rPr>
          <w:rFonts w:ascii="Times New Roman" w:hAnsi="Times New Roman"/>
          <w:b/>
          <w:caps/>
          <w:sz w:val="28"/>
          <w:szCs w:val="28"/>
        </w:rPr>
        <w:t>профилЬ: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  <w:lang w:bidi="hi-IN"/>
        </w:rPr>
        <w:t>«</w:t>
      </w:r>
      <w:r>
        <w:rPr>
          <w:rFonts w:ascii="Times New Roman" w:hAnsi="Times New Roman"/>
          <w:caps/>
          <w:sz w:val="24"/>
          <w:szCs w:val="24"/>
          <w:lang w:bidi="hi-IN"/>
        </w:rPr>
        <w:t>ФИНАНСы и ИНВЕСТИЦИИ», «УЧЕТ, АНАЛИЗ И АУДИТ»</w:t>
      </w:r>
    </w:p>
    <w:p>
      <w:pPr>
        <w:pStyle w:val="Normal"/>
        <w:spacing w:lineRule="exact" w:line="322"/>
        <w:ind w:left="91" w:right="-2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136"/>
        <w:ind w:left="91" w:right="58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</w:t>
      </w:r>
    </w:p>
    <w:p>
      <w:pPr>
        <w:pStyle w:val="Normal"/>
        <w:shd w:val="clear" w:color="auto" w:fill="FFFFFF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Разработан в соответствии с рабочей программой, утвержденной  20.11.2018 г.</w:t>
      </w:r>
    </w:p>
    <w:p>
      <w:pPr>
        <w:pStyle w:val="Normal"/>
        <w:ind w:left="91" w:right="509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Рассмотрен и утвержден на заседании кафедры   протокол    </w:t>
      </w:r>
      <w:r>
        <w:rPr>
          <w:rFonts w:ascii="Times New Roman" w:hAnsi="Times New Roman"/>
          <w:sz w:val="24"/>
          <w:szCs w:val="24"/>
        </w:rPr>
        <w:t>06 от 05.02.2022г</w:t>
      </w:r>
    </w:p>
    <w:p>
      <w:pPr>
        <w:pStyle w:val="ReportHead1"/>
        <w:suppressAutoHyphens w:val="true"/>
        <w:ind w:left="0" w:firstLine="850"/>
        <w:jc w:val="both"/>
        <w:rPr>
          <w:sz w:val="24"/>
          <w:lang w:val="ru-RU"/>
        </w:rPr>
      </w:pPr>
      <w:r>
        <w:rPr>
          <w:sz w:val="24"/>
          <w:lang w:val="ru-RU"/>
        </w:rPr>
      </w:r>
    </w:p>
    <w:p>
      <w:pPr>
        <w:pStyle w:val="ReportHead1"/>
        <w:suppressAutoHyphens w:val="true"/>
        <w:jc w:val="left"/>
        <w:rPr>
          <w:sz w:val="24"/>
          <w:lang w:val="ru-RU"/>
        </w:rPr>
      </w:pPr>
      <w:r>
        <w:rPr>
          <w:sz w:val="24"/>
          <w:lang w:val="ru-RU"/>
        </w:rPr>
      </w:r>
    </w:p>
    <w:p>
      <w:pPr>
        <w:pStyle w:val="ReportHead1"/>
        <w:suppressAutoHyphens w:val="true"/>
        <w:jc w:val="left"/>
        <w:rPr>
          <w:sz w:val="24"/>
          <w:lang w:val="ru-RU"/>
        </w:rPr>
      </w:pPr>
      <w:r>
        <w:rPr>
          <w:sz w:val="24"/>
          <w:lang w:val="ru-RU"/>
        </w:rPr>
      </w:r>
    </w:p>
    <w:p>
      <w:pPr>
        <w:pStyle w:val="ReportHead1"/>
        <w:suppressAutoHyphens w:val="true"/>
        <w:jc w:val="left"/>
        <w:rPr>
          <w:sz w:val="24"/>
          <w:lang w:val="ru-RU"/>
        </w:rPr>
      </w:pPr>
      <w:r>
        <w:rPr>
          <w:sz w:val="24"/>
          <w:lang w:val="ru-RU"/>
        </w:rPr>
      </w:r>
    </w:p>
    <w:p>
      <w:pPr>
        <w:pStyle w:val="ReportHead1"/>
        <w:suppressAutoHyphens w:val="true"/>
        <w:jc w:val="left"/>
        <w:rPr>
          <w:sz w:val="24"/>
          <w:lang w:val="ru-RU"/>
        </w:rPr>
      </w:pPr>
      <w:r>
        <w:rPr>
          <w:sz w:val="24"/>
          <w:lang w:val="ru-RU"/>
        </w:rPr>
      </w:r>
    </w:p>
    <w:p>
      <w:pPr>
        <w:pStyle w:val="ReportHead1"/>
        <w:suppressAutoHyphens w:val="true"/>
        <w:jc w:val="left"/>
        <w:rPr>
          <w:sz w:val="24"/>
          <w:lang w:val="ru-RU"/>
        </w:rPr>
      </w:pPr>
      <w:r>
        <w:rPr>
          <w:sz w:val="24"/>
          <w:lang w:val="ru-RU"/>
        </w:rPr>
      </w:r>
    </w:p>
    <w:p>
      <w:pPr>
        <w:pStyle w:val="ReportHead1"/>
        <w:suppressAutoHyphens w:val="true"/>
        <w:jc w:val="left"/>
        <w:rPr>
          <w:sz w:val="24"/>
          <w:lang w:val="ru-RU"/>
        </w:rPr>
      </w:pPr>
      <w:r>
        <w:rPr>
          <w:sz w:val="24"/>
          <w:lang w:val="ru-RU"/>
        </w:rPr>
      </w:r>
    </w:p>
    <w:p>
      <w:pPr>
        <w:pStyle w:val="ReportHead1"/>
        <w:suppressAutoHyphens w:val="true"/>
        <w:jc w:val="left"/>
        <w:rPr>
          <w:sz w:val="24"/>
          <w:lang w:val="ru-RU"/>
        </w:rPr>
      </w:pPr>
      <w:r>
        <w:rPr>
          <w:sz w:val="24"/>
          <w:lang w:val="ru-RU"/>
        </w:rPr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0" w:hanging="0"/>
        <w:jc w:val="both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8"/>
          <w:tab w:val="left" w:pos="1149" w:leader="none"/>
        </w:tabs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>
      <w:pPr>
        <w:pStyle w:val="Normal"/>
        <w:ind w:left="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35"/>
        <w:widowControl w:val="false"/>
        <w:shd w:val="clear" w:color="auto" w:fill="auto"/>
        <w:spacing w:lineRule="auto" w:line="240" w:before="0" w:after="120"/>
        <w:ind w:left="714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10019" w:type="dxa"/>
        <w:jc w:val="left"/>
        <w:tblInd w:w="-412" w:type="dxa"/>
        <w:tblLayout w:type="fixed"/>
        <w:tblCellMar>
          <w:top w:w="9" w:type="dxa"/>
          <w:left w:w="108" w:type="dxa"/>
          <w:bottom w:w="0" w:type="dxa"/>
          <w:right w:w="53" w:type="dxa"/>
        </w:tblCellMar>
        <w:tblLook w:noVBand="1" w:val="04a0" w:noHBand="0" w:lastColumn="0" w:firstColumn="1" w:lastRow="0" w:firstRow="1"/>
      </w:tblPr>
      <w:tblGrid>
        <w:gridCol w:w="930"/>
        <w:gridCol w:w="1859"/>
        <w:gridCol w:w="3261"/>
        <w:gridCol w:w="3968"/>
      </w:tblGrid>
      <w:tr>
        <w:trPr>
          <w:trHeight w:val="1245" w:hRule="atLeast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91" w:right="108" w:hanging="0"/>
              <w:jc w:val="center"/>
              <w:rPr>
                <w:rFonts w:ascii="Times New Roman" w:hAnsi="Times New Roman" w:eastAsia="Times New Roman"/>
                <w:b/>
                <w:b/>
              </w:rPr>
            </w:pPr>
            <w:r>
              <w:rPr>
                <w:rFonts w:eastAsia="Times New Roman" w:ascii="Times New Roman" w:hAnsi="Times New Roman"/>
                <w:b/>
              </w:rPr>
              <w:t>Компетенции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Default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>
            <w:pPr>
              <w:pStyle w:val="Default"/>
              <w:widowControl w:val="false"/>
              <w:jc w:val="center"/>
              <w:rPr>
                <w:b/>
                <w:b/>
              </w:rPr>
            </w:pPr>
            <w:r>
              <w:rPr>
                <w:b/>
                <w:bCs/>
              </w:rPr>
              <w:t>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Индикаторы</w:t>
            </w:r>
          </w:p>
          <w:p>
            <w:pPr>
              <w:pStyle w:val="Default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достижения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Default"/>
              <w:widowControl w:val="false"/>
              <w:jc w:val="center"/>
              <w:rPr>
                <w:b/>
                <w:b/>
              </w:rPr>
            </w:pPr>
            <w:r>
              <w:rPr>
                <w:b/>
                <w:bCs/>
              </w:rPr>
              <w:t>Планируемые результаты обучения по дисциплине</w:t>
            </w:r>
          </w:p>
        </w:tc>
      </w:tr>
      <w:tr>
        <w:trPr>
          <w:trHeight w:val="1498" w:hRule="atLeast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2" w:hanging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ПКП-1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Style w:val="212pt"/>
                <w:rFonts w:eastAsia="Arial Unicode MS"/>
                <w:sz w:val="20"/>
                <w:szCs w:val="20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 (ПКП-1)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Style w:val="212pt"/>
                <w:rFonts w:eastAsia="Calibri"/>
                <w:sz w:val="20"/>
                <w:szCs w:val="20"/>
              </w:rPr>
              <w:t>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91" w:right="85" w:hanging="0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Style w:val="212pt"/>
                <w:rFonts w:eastAsia="Calibri"/>
                <w:sz w:val="20"/>
                <w:szCs w:val="20"/>
              </w:rPr>
              <w:t>2.Применяет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91" w:right="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91" w:right="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91" w:right="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ind w:left="0" w:right="8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91" w:right="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Умеет: применять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91" w:right="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91" w:right="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ind w:left="0" w:right="8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ind w:left="0" w:right="8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91" w:right="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/>
                <w:sz w:val="24"/>
                <w:szCs w:val="24"/>
              </w:rPr>
              <w:t>варианты решения профессиональных задач в условиях неопределенности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91" w:right="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91" w:right="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Умеет: применять </w:t>
            </w:r>
            <w:r>
              <w:rPr>
                <w:rFonts w:ascii="Times New Roman" w:hAnsi="Times New Roman"/>
                <w:sz w:val="24"/>
                <w:szCs w:val="24"/>
              </w:rPr>
              <w:t>варианты решения профессиональных задач в условиях неопределенности и методы исследований 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91" w:right="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ind w:left="0" w:right="8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91" w:right="85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177" w:hRule="atLeast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ПКН-3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/>
              </w:rPr>
            </w:pPr>
            <w:r>
              <w:rPr>
                <w:rFonts w:cs="Times New Roman" w:ascii="Times New Roman" w:hAnsi="Times New Roman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 (ПКН-3).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2.Формурирует математические постановки финансово- экономических задач, переходит от экономических постановок задач к математическим моделям.</w:t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4.Анализирует результаты исследования математических моделей финансово- 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 методы сбора, обработки и статистического анализ данных для решения финансово-экономических математических, финансовых и экономических задач.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Умеет: применять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 методы сбора, обработки и статистического анализ данных для решения финансово-экономических математических, финансовых 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экономических задач.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основные математические постановки финансово-экономических задач, методы перехода от экономических постановок задач к математическим моделям.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основные математические постановки финансово-экономических задач, методы перехода от экономических постановок задач к математическим моделям.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методы системного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системного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методы анализа результатов исследования математических моделей финансово-экономических задач и количественные и качественные методы и рекомендации по принятию финансово-экономических решений.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анализа результатов исследования математических моделей финансово-экономических задач и количественные и качественные методы и рекомендации по принятию финансово-экономических решений.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177" w:hRule="atLeast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ПКН-4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cs="Times New Roman" w:ascii="Times New Roman" w:hAnsi="Times New Roman"/>
              </w:rPr>
              <w:t>Способность оценивать показатели деятельности экономических субъектов (ПКН-4).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1. Проводит анализ внешней и внутренней среды ведения бизнеса,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субъектов,</w:t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2.Расчитывает и интерпретирует показатели деятельности экономических субъектов.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основные математические постановки финансово-экономических задач, методы перехода от экономических постановок задач к математическим моделям.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основные математические постановки финансово-экономических задач, методы перехода от экономических постановок задач к математическим моделям.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методы системного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системного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sz w:val="24"/>
                <w:szCs w:val="24"/>
                <w:lang w:val="x-none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x-none"/>
              </w:rPr>
            </w:r>
          </w:p>
        </w:tc>
      </w:tr>
    </w:tbl>
    <w:p>
      <w:pPr>
        <w:pStyle w:val="Normal"/>
        <w:numPr>
          <w:ilvl w:val="0"/>
          <w:numId w:val="0"/>
        </w:numPr>
        <w:ind w:left="91" w:hanging="0"/>
        <w:jc w:val="center"/>
        <w:outlineLvl w:val="3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35"/>
        <w:widowControl w:val="false"/>
        <w:shd w:val="clear" w:color="auto" w:fill="auto"/>
        <w:spacing w:lineRule="auto" w:line="240" w:before="0" w:after="120"/>
        <w:ind w:left="714" w:hanging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2. Перечень компетенций, с указанием этапов их формирования в процессе освоения дисциплины</w:t>
      </w:r>
    </w:p>
    <w:p>
      <w:pPr>
        <w:pStyle w:val="35"/>
        <w:shd w:val="clear" w:color="auto" w:fill="auto"/>
        <w:tabs>
          <w:tab w:val="clear" w:pos="708"/>
          <w:tab w:val="left" w:pos="915" w:leader="none"/>
        </w:tabs>
        <w:spacing w:lineRule="auto" w:line="240" w:before="200" w:after="20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Этапы формирования компетенций</w:t>
      </w:r>
    </w:p>
    <w:tbl>
      <w:tblPr>
        <w:tblW w:w="9377" w:type="dxa"/>
        <w:jc w:val="left"/>
        <w:tblInd w:w="91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noVBand="1" w:val="04a0" w:noHBand="0" w:lastColumn="0" w:firstColumn="1" w:lastRow="0" w:firstRow="1"/>
      </w:tblPr>
      <w:tblGrid>
        <w:gridCol w:w="813"/>
        <w:gridCol w:w="1188"/>
        <w:gridCol w:w="847"/>
        <w:gridCol w:w="2329"/>
        <w:gridCol w:w="4200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темы дисциплины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Тематика занятий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Форма проведения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jc w:val="center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Конкретизация компетенции (знания, умения)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Тема 1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4"/>
              <w:keepNext w:val="false"/>
              <w:widowControl w:val="false"/>
              <w:spacing w:lineRule="auto" w:line="276" w:before="0" w:after="0"/>
              <w:rPr>
                <w:b/>
                <w:b/>
              </w:rPr>
            </w:pPr>
            <w:r>
              <w:rPr>
                <w:b/>
              </w:rPr>
              <w:t>Теория процентов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ПКН-4, ПКН-3</w:t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примеров по теме, включая групповое решение типовых задач, и выполнение  индивидуальных заданий по основным  приемам, методам и технологиям финансовых вычислений для решения теоретических и прикладных задач экономики и финансов</w:t>
            </w:r>
          </w:p>
        </w:tc>
        <w:tc>
          <w:tcPr>
            <w:tcW w:w="4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 CYR" w:ascii="Times New Roman CYR" w:hAnsi="Times New Roman CYR"/>
                <w:color w:val="000000"/>
                <w:sz w:val="24"/>
                <w:szCs w:val="24"/>
                <w:lang w:eastAsia="ru-RU"/>
              </w:rPr>
              <w:t xml:space="preserve">основные понятия, методики расчетов и методы исследований современной финансовой математики;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процессы сбора, обработки и </w:t>
            </w:r>
            <w:r>
              <w:rPr>
                <w:rFonts w:ascii="Times New Roman" w:hAnsi="Times New Roman"/>
                <w:sz w:val="24"/>
                <w:szCs w:val="24"/>
              </w:rPr>
              <w:t>статистический анализ данных; экономическую постановку задач и математическое моделирование; математические методы и применяемые к ним информационные технологии;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методы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количественного и качественного анализа математических моделей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 CYR" w:ascii="Times New Roman CYR" w:hAnsi="Times New Roman CYR"/>
                <w:color w:val="000000"/>
                <w:sz w:val="24"/>
                <w:szCs w:val="24"/>
                <w:lang w:eastAsia="ru-RU"/>
              </w:rPr>
              <w:t>решать социально-экономические задачи современными методами финансовой математики на основе методов математического анализа, линейной алгебры, теории вероятностей и статистики</w:t>
            </w:r>
            <w:r>
              <w:rPr>
                <w:rFonts w:ascii="Times New Roman" w:hAnsi="Times New Roman"/>
                <w:sz w:val="24"/>
                <w:szCs w:val="24"/>
              </w:rPr>
              <w:t>; формулировать математические постановки финансово-экономических задач, переходить от экономических постановок задач к математическим моделям; использовать возможности</w:t>
            </w:r>
            <w:r>
              <w:rPr>
                <w:rFonts w:cs="Times New Roman CYR" w:ascii="Times New Roman CYR" w:hAnsi="Times New Roman CYR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cs="Times New Roman CYR" w:ascii="Times New Roman CYR" w:hAnsi="Times New Roman CYR"/>
                <w:color w:val="000000"/>
                <w:sz w:val="24"/>
                <w:szCs w:val="24"/>
                <w:lang w:eastAsia="ru-RU"/>
              </w:rPr>
              <w:t>программы Microsoft Excel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 </w:t>
            </w:r>
            <w:r>
              <w:rPr>
                <w:rFonts w:cs="Times New Roman CYR" w:ascii="Times New Roman CYR" w:hAnsi="Times New Roman CYR"/>
                <w:color w:val="000000"/>
                <w:sz w:val="24"/>
                <w:szCs w:val="24"/>
                <w:lang w:eastAsia="ru-RU"/>
              </w:rPr>
              <w:t>решения стандартных профессиональных финансово-экономических задач</w:t>
            </w:r>
            <w:r>
              <w:rPr>
                <w:rFonts w:ascii="Times New Roman" w:hAnsi="Times New Roman"/>
                <w:sz w:val="24"/>
                <w:szCs w:val="24"/>
              </w:rPr>
              <w:t>; интерпретировать результаты исследования математических моделей финансово-экономических задач.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Тема 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4"/>
              <w:keepNext w:val="false"/>
              <w:widowControl w:val="false"/>
              <w:spacing w:lineRule="auto" w:line="276" w:before="0" w:after="0"/>
              <w:rPr/>
            </w:pPr>
            <w:r>
              <w:rPr>
                <w:b/>
              </w:rPr>
              <w:t>Финансовые потоки</w:t>
            </w:r>
          </w:p>
        </w:tc>
        <w:tc>
          <w:tcPr>
            <w:tcW w:w="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jc w:val="both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Тема 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Финансовые функции </w:t>
            </w:r>
            <w:r>
              <w:rPr>
                <w:rFonts w:ascii="Times New Roman" w:hAnsi="Times New Roman"/>
                <w:lang w:val="en-US"/>
              </w:rPr>
              <w:t>MS Excel</w:t>
            </w:r>
          </w:p>
        </w:tc>
        <w:tc>
          <w:tcPr>
            <w:tcW w:w="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jc w:val="both"/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Тема 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Доходность и риск финансовой операции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Доклады, рефераты, групповые дискуссии презентация основных подходов. Разбор  примеров и  выполнение  индивидуальных заданий   по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принятию решений в условиях частичной  и полной неопределенности</w:t>
            </w:r>
          </w:p>
        </w:tc>
        <w:tc>
          <w:tcPr>
            <w:tcW w:w="4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>
              <w:rPr>
                <w:rFonts w:cs="Times New Roman CYR" w:ascii="Times New Roman CYR" w:hAnsi="Times New Roman CYR"/>
                <w:color w:val="000000"/>
                <w:sz w:val="24"/>
                <w:szCs w:val="24"/>
                <w:lang w:eastAsia="ru-RU"/>
              </w:rPr>
              <w:t>вычислительные методы анализа исходных данных, необходимых для решения профессиональных задач в меняющихся финансово-экономических условиях</w:t>
            </w:r>
            <w:r>
              <w:rPr>
                <w:rFonts w:ascii="Times New Roman" w:hAnsi="Times New Roman"/>
                <w:sz w:val="24"/>
                <w:szCs w:val="24"/>
              </w:rPr>
              <w:t>; варианты решения профессиональных задач в условиях неопределенности.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 CYR" w:ascii="Times New Roman CYR" w:hAnsi="Times New Roman CYR"/>
                <w:color w:val="000000"/>
                <w:sz w:val="24"/>
                <w:szCs w:val="24"/>
                <w:lang w:eastAsia="ru-RU"/>
              </w:rPr>
              <w:t>применять  количественные и вычислительные методы моделирования и прогнозирования финансовых данных в меняющихся финансово-экономических условиях</w:t>
            </w:r>
            <w:r>
              <w:rPr>
                <w:rFonts w:ascii="Times New Roman" w:hAnsi="Times New Roman"/>
                <w:sz w:val="24"/>
                <w:szCs w:val="24"/>
              </w:rPr>
              <w:t>; предлагать  варианты решения профессиональных задач в условиях неопределенности.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Тема 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4"/>
              <w:keepNext w:val="false"/>
              <w:widowControl w:val="false"/>
              <w:spacing w:lineRule="auto" w:line="276" w:before="0" w:after="0"/>
              <w:rPr>
                <w:b/>
                <w:b/>
              </w:rPr>
            </w:pPr>
            <w:r>
              <w:rPr>
                <w:b/>
              </w:rPr>
              <w:t>Портфельный анализ</w:t>
            </w:r>
          </w:p>
        </w:tc>
        <w:tc>
          <w:tcPr>
            <w:tcW w:w="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Доклады, рефераты, групповые дискуссии презентация основных подходов. Разбор  примеров и  выполнение  индивидуальных заданий   по  использованию их по теме исследования в меняющихся финансово-экономических условиях</w:t>
            </w:r>
          </w:p>
        </w:tc>
        <w:tc>
          <w:tcPr>
            <w:tcW w:w="42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sz w:val="24"/>
                <w:szCs w:val="24"/>
              </w:rPr>
              <w:t>Тема 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4"/>
              <w:keepNext w:val="false"/>
              <w:widowControl w:val="false"/>
              <w:spacing w:lineRule="auto" w:line="276" w:before="0" w:after="0"/>
              <w:rPr>
                <w:b/>
                <w:b/>
              </w:rPr>
            </w:pPr>
            <w:r>
              <w:rPr>
                <w:b/>
              </w:rPr>
              <w:t>Стоимость и структура капитала</w:t>
            </w:r>
          </w:p>
        </w:tc>
        <w:tc>
          <w:tcPr>
            <w:tcW w:w="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r>
          </w:p>
        </w:tc>
        <w:tc>
          <w:tcPr>
            <w:tcW w:w="23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8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cs="Times New Roman" w:ascii="Times New Roman" w:hAnsi="Times New Roman"/>
          <w:b/>
          <w:sz w:val="28"/>
          <w:szCs w:val="28"/>
        </w:rPr>
        <w:t>. Описание показателей и критериев оценивания компетенций, описание шкалы оценивания</w:t>
      </w:r>
    </w:p>
    <w:p>
      <w:pPr>
        <w:pStyle w:val="Normal"/>
        <w:ind w:left="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91" w:first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91" w:firstLine="360"/>
        <w:rPr>
          <w:rFonts w:ascii="Times New Roman" w:hAnsi="Times New Roman" w:eastAsia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ПКН-3 </w:t>
      </w:r>
      <w:r>
        <w:rPr>
          <w:rFonts w:eastAsia="Times New Roman" w:ascii="Times New Roman" w:hAnsi="Times New Roman"/>
          <w:b/>
          <w:sz w:val="28"/>
          <w:szCs w:val="28"/>
        </w:rPr>
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результаты.</w:t>
      </w:r>
    </w:p>
    <w:p>
      <w:pPr>
        <w:pStyle w:val="Normal"/>
        <w:ind w:left="91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уровня сформированности компетенции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518"/>
        <w:gridCol w:w="2348"/>
        <w:gridCol w:w="3183"/>
        <w:gridCol w:w="1521"/>
      </w:tblGrid>
      <w:tr>
        <w:trPr/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оценивания компетенции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Индикаторы достижений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 оценивания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Уровни</w:t>
            </w:r>
          </w:p>
        </w:tc>
      </w:tr>
      <w:tr>
        <w:trPr/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rFonts w:ascii="Times New Roman" w:hAnsi="Times New Roman"/>
              </w:rPr>
              <w:t>Достаточный объем знаний в рамках обязательного уровня освоения дисциплины</w:t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применять типовые алгоритмы решения поставленных задач в рамках учебной дисциплины</w:t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Обладает необходимыми</w:t>
            </w:r>
            <w:r>
              <w:rPr/>
              <w:t xml:space="preserve"> </w:t>
            </w:r>
            <w:r>
              <w:rPr>
                <w:sz w:val="24"/>
                <w:szCs w:val="24"/>
              </w:rPr>
              <w:t>навыками математической</w:t>
            </w:r>
            <w:r>
              <w:rPr>
                <w:sz w:val="24"/>
                <w:szCs w:val="24"/>
                <w:lang w:eastAsia="en-US"/>
              </w:rPr>
              <w:t xml:space="preserve"> формализаций экономических задач, анализа и интерпретации решений соответствующих математических и экономических моделей.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2.Формурирует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42" w:hanging="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/>
              </w:rPr>
              <w:t>основные понятия и методы сбора, обработки и статистического анализ данных для решения финансово-экономических математических, финансовых и экономических задач.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42" w:hanging="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основные понятия и методы сбора, обработки и статистического анализ данных для решения финансово-экономических математических, финансовых 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42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экономических задач.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4"/>
                <w:szCs w:val="24"/>
              </w:rPr>
              <w:t xml:space="preserve">Знает: </w:t>
            </w:r>
            <w:r>
              <w:rPr>
                <w:sz w:val="22"/>
                <w:szCs w:val="22"/>
              </w:rPr>
              <w:t>основные</w:t>
            </w:r>
            <w:r>
              <w:rPr>
                <w:sz w:val="23"/>
                <w:szCs w:val="23"/>
              </w:rPr>
              <w:t xml:space="preserve"> математические постановки финансово-экономических задач, методы перехода от экономических постановок задач к математическим моделям.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2"/>
                <w:szCs w:val="22"/>
              </w:rPr>
              <w:t>Умеет: применять основные</w:t>
            </w:r>
            <w:r>
              <w:rPr>
                <w:sz w:val="23"/>
                <w:szCs w:val="23"/>
              </w:rPr>
              <w:t xml:space="preserve"> математические постановки финансово-экономических задач, методы перехода от экономических постановок задач к математическим моделям.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Знает: методы с</w:t>
            </w:r>
            <w:r>
              <w:rPr>
                <w:sz w:val="23"/>
                <w:szCs w:val="23"/>
              </w:rPr>
              <w:t>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Умеет: применять </w:t>
            </w:r>
            <w:r>
              <w:rPr>
                <w:sz w:val="24"/>
                <w:szCs w:val="24"/>
              </w:rPr>
              <w:t>методы с</w:t>
            </w:r>
            <w:r>
              <w:rPr>
                <w:sz w:val="23"/>
                <w:szCs w:val="23"/>
              </w:rPr>
              <w:t>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 xml:space="preserve">Знает: методы </w:t>
            </w:r>
            <w:r>
              <w:rPr>
                <w:sz w:val="23"/>
                <w:szCs w:val="23"/>
              </w:rPr>
              <w:t>анализа результатов исследования математических моделей финансово-экономических задач и количественные и качественные методы и рекомендации по принятию финансово-экономических решений.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Умеет: применять </w:t>
            </w:r>
            <w:r>
              <w:rPr>
                <w:sz w:val="24"/>
                <w:szCs w:val="24"/>
              </w:rPr>
              <w:t xml:space="preserve">методы </w:t>
            </w:r>
            <w:r>
              <w:rPr>
                <w:sz w:val="23"/>
                <w:szCs w:val="23"/>
              </w:rPr>
              <w:t>анализа результатов исследования математических моделей финансово-экономических задач и количественные и качественные методы и рекомендации по принятию финансово-экономических решений.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Пороговый уровень</w:t>
            </w:r>
          </w:p>
        </w:tc>
      </w:tr>
      <w:tr>
        <w:trPr/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Достаточно полные знания основных понятий, методов расчетов и технологий теории вероятностей , необходимых для решения задач прикладного характера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Style13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 разрабатывать теоретико-статистические модели реальных процессов, проводить их математический анализ, решать профессиональные задачи в нестандартной ситуации</w:t>
            </w:r>
          </w:p>
          <w:p>
            <w:pPr>
              <w:pStyle w:val="Style13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</w:rPr>
              <w:t>Обладает навыками математической формализаций экономических задач, анализа и интерпретации решений соответствующих математических и экономических моделей.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2.Формурирует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42" w:hanging="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Знает: хорошо </w:t>
            </w:r>
            <w:r>
              <w:rPr>
                <w:rFonts w:ascii="Times New Roman" w:hAnsi="Times New Roman"/>
              </w:rPr>
              <w:t>основные понятия и методы сбора, обработки и статистического анализ данных для решения финансово-экономических математических, финансовых и экономических задач.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42" w:hanging="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основные понятия и методы сбора, обработки и статистического анализ данных для решения финансово-экономических математических, финансовых 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42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экономических задач.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4"/>
                <w:szCs w:val="24"/>
              </w:rPr>
              <w:t>Знает: хорошо</w:t>
            </w:r>
            <w:r>
              <w:rPr>
                <w:sz w:val="22"/>
                <w:szCs w:val="22"/>
              </w:rPr>
              <w:t xml:space="preserve"> основные</w:t>
            </w:r>
            <w:r>
              <w:rPr>
                <w:sz w:val="23"/>
                <w:szCs w:val="23"/>
              </w:rPr>
              <w:t xml:space="preserve"> математические постановки финансово-экономических задач, методы перехода от экономических постановок задач к математическим моделям.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2"/>
                <w:szCs w:val="22"/>
              </w:rPr>
              <w:t>Умеет: применять основные</w:t>
            </w:r>
            <w:r>
              <w:rPr>
                <w:sz w:val="23"/>
                <w:szCs w:val="23"/>
              </w:rPr>
              <w:t xml:space="preserve"> математические постановки финансово-экономических задач, методы перехода от экономических постановок задач к математическим моделям.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Знает: хорошо методы с</w:t>
            </w:r>
            <w:r>
              <w:rPr>
                <w:sz w:val="23"/>
                <w:szCs w:val="23"/>
              </w:rPr>
              <w:t>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Умеет: применять </w:t>
            </w:r>
            <w:r>
              <w:rPr>
                <w:sz w:val="24"/>
                <w:szCs w:val="24"/>
              </w:rPr>
              <w:t>методы с</w:t>
            </w:r>
            <w:r>
              <w:rPr>
                <w:sz w:val="23"/>
                <w:szCs w:val="23"/>
              </w:rPr>
              <w:t>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 xml:space="preserve">Знает: хорошо методы </w:t>
            </w:r>
            <w:r>
              <w:rPr>
                <w:sz w:val="23"/>
                <w:szCs w:val="23"/>
              </w:rPr>
              <w:t>анализа результатов исследования математических моделей финансово-экономических задач и количественные и качественные методы и рекомендации по принятию финансово-экономических решений.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Умеет: применять </w:t>
            </w:r>
            <w:r>
              <w:rPr>
                <w:sz w:val="24"/>
                <w:szCs w:val="24"/>
              </w:rPr>
              <w:t xml:space="preserve">методы </w:t>
            </w:r>
            <w:r>
              <w:rPr>
                <w:sz w:val="23"/>
                <w:szCs w:val="23"/>
              </w:rPr>
              <w:t>анализа результатов исследования математических моделей финансово-экономических задач и количественные и качественные методы и рекомендации по принятию финансово-экономических решений.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Продвинутый уровень</w:t>
            </w:r>
          </w:p>
        </w:tc>
      </w:tr>
      <w:tr>
        <w:trPr/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Систематизированные, глубокие и полные знания базовых понятий, методов расчетов и технологий теории, необходимых для решения задач прикладного характера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b/>
              </w:rPr>
              <w:t xml:space="preserve"> </w:t>
            </w:r>
            <w:r>
              <w:rPr>
                <w:rFonts w:ascii="Times New Roman" w:hAnsi="Times New Roman"/>
              </w:rPr>
              <w:t>Выраженная способность самостоятельно и творчески разрабатывать теоретико-статистические модели реальных процессов, проводить их математический анализ, решать профессиональные задачи в нестандартной ситуации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Ярко выражены навыки математической формализаций экономических задач, анализа и интерпретации решений соответствующих математических и экономических моделей.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2.Формурирует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42" w:hanging="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 xml:space="preserve">Знает: на высоком уровне </w:t>
            </w:r>
            <w:r>
              <w:rPr>
                <w:rFonts w:ascii="Times New Roman" w:hAnsi="Times New Roman"/>
              </w:rPr>
              <w:t>основные понятия и методы сбора, обработки и статистического анализ данных для решения финансово-экономических математических, финансовых и экономических задач.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42" w:hanging="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основные понятия и методы сбора, обработки и статистического анализ данных для решения финансово-экономических математических, финансовых 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42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экономических задач.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4"/>
                <w:szCs w:val="24"/>
              </w:rPr>
              <w:t xml:space="preserve">Знает: на высоком уровне </w:t>
            </w:r>
            <w:r>
              <w:rPr>
                <w:sz w:val="22"/>
                <w:szCs w:val="22"/>
              </w:rPr>
              <w:t>основные</w:t>
            </w:r>
            <w:r>
              <w:rPr>
                <w:sz w:val="23"/>
                <w:szCs w:val="23"/>
              </w:rPr>
              <w:t xml:space="preserve"> математические постановки финансово-экономических задач, методы перехода от экономических постановок задач к математическим моделям.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2"/>
                <w:szCs w:val="22"/>
              </w:rPr>
              <w:t>Умеет: применять основные</w:t>
            </w:r>
            <w:r>
              <w:rPr>
                <w:sz w:val="23"/>
                <w:szCs w:val="23"/>
              </w:rPr>
              <w:t xml:space="preserve"> математические постановки финансово-экономических задач, методы перехода от экономических постановок задач к математическим моделям.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Знает: на высоком уровне методы с</w:t>
            </w:r>
            <w:r>
              <w:rPr>
                <w:sz w:val="23"/>
                <w:szCs w:val="23"/>
              </w:rPr>
              <w:t>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Умеет: применять </w:t>
            </w:r>
            <w:r>
              <w:rPr>
                <w:sz w:val="24"/>
                <w:szCs w:val="24"/>
              </w:rPr>
              <w:t>методы с</w:t>
            </w:r>
            <w:r>
              <w:rPr>
                <w:sz w:val="23"/>
                <w:szCs w:val="23"/>
              </w:rPr>
              <w:t>истемного подхода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 xml:space="preserve">Знает: на высоком уровне методы </w:t>
            </w:r>
            <w:r>
              <w:rPr>
                <w:sz w:val="23"/>
                <w:szCs w:val="23"/>
              </w:rPr>
              <w:t>анализа результатов исследования математических моделей финансово-экономических задач и количественные и качественные методы и рекомендации по принятию финансово-экономических решений.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Умеет: применять </w:t>
            </w:r>
            <w:r>
              <w:rPr>
                <w:sz w:val="24"/>
                <w:szCs w:val="24"/>
              </w:rPr>
              <w:t xml:space="preserve">методы </w:t>
            </w:r>
            <w:r>
              <w:rPr>
                <w:sz w:val="23"/>
                <w:szCs w:val="23"/>
              </w:rPr>
              <w:t>анализа результатов исследования математических моделей финансово-экономических задач и количественные и качественные методы и рекомендации по принятию финансово-экономических решений.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Высокий уровень</w:t>
            </w:r>
          </w:p>
        </w:tc>
      </w:tr>
    </w:tbl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ПКН-4 </w:t>
      </w:r>
      <w:r>
        <w:rPr>
          <w:rFonts w:cs="Times New Roman" w:ascii="Times New Roman" w:hAnsi="Times New Roman"/>
          <w:b/>
          <w:sz w:val="28"/>
          <w:szCs w:val="28"/>
        </w:rPr>
        <w:t>Способность оценивать показатели деятельности экономических субъектов</w:t>
      </w:r>
    </w:p>
    <w:p>
      <w:pPr>
        <w:pStyle w:val="Normal"/>
        <w:ind w:left="91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ind w:left="91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уровня сформированности компетенции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685"/>
        <w:gridCol w:w="2261"/>
        <w:gridCol w:w="2958"/>
        <w:gridCol w:w="1666"/>
      </w:tblGrid>
      <w:tr>
        <w:trPr/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оценивания компетенции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Индикаторы достижений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 оценивания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Уровни</w:t>
            </w:r>
          </w:p>
        </w:tc>
      </w:tr>
      <w:tr>
        <w:trPr/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rFonts w:ascii="Times New Roman" w:hAnsi="Times New Roman"/>
              </w:rPr>
              <w:t>Достаточный объем знаний в рамках обязательного уровня освоения дисциплины</w:t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применять типовые алгоритмы решения поставленных задач в рамках учебной дисциплины</w:t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Обладает необходимыми</w:t>
            </w:r>
            <w:r>
              <w:rPr/>
              <w:t xml:space="preserve"> </w:t>
            </w:r>
            <w:r>
              <w:rPr>
                <w:sz w:val="24"/>
                <w:szCs w:val="24"/>
              </w:rPr>
              <w:t>навыками математической</w:t>
            </w:r>
            <w:r>
              <w:rPr>
                <w:sz w:val="24"/>
                <w:szCs w:val="24"/>
                <w:lang w:eastAsia="en-US"/>
              </w:rPr>
              <w:t xml:space="preserve"> формализаций экономических задач, анализа и интерпретации решений соответствующих математических и экономических моделей.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1.Проводит анализ внешней и внутренней среды ведения бизнеса,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субъектов,</w:t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4"/>
                <w:szCs w:val="24"/>
              </w:rPr>
              <w:t>2.Расчитывает и интерпретирует показатели деятельности экономических субъектов.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Знает: </w:t>
            </w:r>
            <w:r>
              <w:rPr>
                <w:rFonts w:ascii="Times New Roman" w:hAnsi="Times New Roman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ind w:left="-123" w:firstLine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ind w:left="-123" w:firstLine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ind w:left="-123" w:firstLine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Знает: </w:t>
            </w:r>
            <w:r>
              <w:rPr>
                <w:rFonts w:ascii="Times New Roman" w:hAnsi="Times New Roman"/>
              </w:rPr>
              <w:t>варианты решения профессиональных задач в условиях неопределенности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>
                <w:rFonts w:ascii="Times New Roman" w:hAnsi="Times New Roman"/>
              </w:rPr>
              <w:t>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варианты решения профессиональных задач в условиях неопределенности и методы исследований 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/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Пороговый уровень</w:t>
            </w:r>
          </w:p>
        </w:tc>
      </w:tr>
      <w:tr>
        <w:trPr/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Достаточно полные знания основных понятий, методов расчетов и технологий теории вероятностей , необходимых для решения задач прикладного характера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Style13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 разрабатывать теоретико-статистические модели реальных процессов, проводить их математический анализ, решать профессиональные задачи в нестандартной ситуации</w:t>
            </w:r>
          </w:p>
          <w:p>
            <w:pPr>
              <w:pStyle w:val="Style13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</w:rPr>
              <w:t>Обладает навыками математической формализаций экономических задач, анализа и интерпретации решений соответствующих математических и экономических моделей.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1.Проводит анализ внешней и внутренней среды ведения бизнеса,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субъектов,</w:t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4"/>
                <w:szCs w:val="24"/>
              </w:rPr>
              <w:t>2.Расчитывает и интерпретирует показатели деятельности экономических субъектов.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Знает: хорошо </w:t>
            </w:r>
            <w:r>
              <w:rPr>
                <w:rFonts w:ascii="Times New Roman" w:hAnsi="Times New Roman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Знает: хорошо </w:t>
            </w:r>
            <w:r>
              <w:rPr>
                <w:rFonts w:ascii="Times New Roman" w:hAnsi="Times New Roman"/>
              </w:rPr>
              <w:t>варианты решения профессиональных задач в условиях неопределенности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>
                <w:rFonts w:ascii="Times New Roman" w:hAnsi="Times New Roman"/>
              </w:rPr>
              <w:t>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варианты решения профессиональных задач в условиях неопределенности и методы исследований 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/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Продвинутый уровень</w:t>
            </w:r>
          </w:p>
        </w:tc>
      </w:tr>
      <w:tr>
        <w:trPr/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Систематизированные, глубокие и полные знания базовых понятий, методов расчетов и технологий теории, необходимых для решения задач прикладного характера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b/>
              </w:rPr>
              <w:t xml:space="preserve"> </w:t>
            </w:r>
            <w:r>
              <w:rPr>
                <w:rFonts w:ascii="Times New Roman" w:hAnsi="Times New Roman"/>
              </w:rPr>
              <w:t>Выраженная способность самостоятельно и творчески разрабатывать теоретико-статистические модели реальных процессов, проводить их математический анализ, решать профессиональные задачи в нестандартной ситуации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Ярко выражены навыки математической формализаций экономических задач, анализа и интерпретации решений соответствующих математических и экономических моделей.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1.Проводит анализ внешней и внутренней среды ведения бизнеса,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субъектов,</w:t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sz w:val="24"/>
                <w:szCs w:val="24"/>
              </w:rPr>
              <w:t>2.Расчитывает и интерпретирует показатели деятельности экономических субъектов.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Знает: на высоком уровне  </w:t>
            </w:r>
            <w:r>
              <w:rPr>
                <w:rFonts w:ascii="Times New Roman" w:hAnsi="Times New Roman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Знает: на высоком уровне  </w:t>
            </w:r>
            <w:r>
              <w:rPr>
                <w:rFonts w:ascii="Times New Roman" w:hAnsi="Times New Roman"/>
              </w:rPr>
              <w:t>варианты решения профессиональных задач в условиях неопределенности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>
                <w:rFonts w:ascii="Times New Roman" w:hAnsi="Times New Roman"/>
              </w:rPr>
              <w:t>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варианты решения профессиональных задач в условиях неопределенности и методы исследований 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/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Высокий уровень</w:t>
            </w:r>
          </w:p>
        </w:tc>
      </w:tr>
    </w:tbl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ПКП-1 </w:t>
      </w:r>
      <w:r>
        <w:rPr>
          <w:rStyle w:val="212pt"/>
          <w:rFonts w:eastAsia="Arial Unicode MS"/>
          <w:b/>
          <w:sz w:val="28"/>
          <w:szCs w:val="28"/>
        </w:rPr>
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</w:r>
    </w:p>
    <w:p>
      <w:pPr>
        <w:pStyle w:val="Normal"/>
        <w:ind w:left="91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ind w:left="91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уровня сформированности компетенции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685"/>
        <w:gridCol w:w="2261"/>
        <w:gridCol w:w="2958"/>
        <w:gridCol w:w="1666"/>
      </w:tblGrid>
      <w:tr>
        <w:trPr/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оценивания компетенции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Индикаторы достижений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 оценивания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Уровни</w:t>
            </w:r>
          </w:p>
        </w:tc>
      </w:tr>
      <w:tr>
        <w:trPr/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rFonts w:ascii="Times New Roman" w:hAnsi="Times New Roman"/>
              </w:rPr>
              <w:t>Достаточный объем знаний в рамках обязательного уровня освоения дисциплины</w:t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применять типовые алгоритмы решения поставленных задач в рамках учебной дисциплины</w:t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/>
            </w:pPr>
            <w:r>
              <w:rPr/>
            </w:r>
          </w:p>
          <w:p>
            <w:pPr>
              <w:pStyle w:val="Style13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Обладает необходимыми</w:t>
            </w:r>
            <w:r>
              <w:rPr/>
              <w:t xml:space="preserve"> </w:t>
            </w:r>
            <w:r>
              <w:rPr>
                <w:sz w:val="24"/>
                <w:szCs w:val="24"/>
              </w:rPr>
              <w:t>навыками математической</w:t>
            </w:r>
            <w:r>
              <w:rPr>
                <w:sz w:val="24"/>
                <w:szCs w:val="24"/>
                <w:lang w:eastAsia="en-US"/>
              </w:rPr>
              <w:t xml:space="preserve"> формализаций экономических задач, анализа и интерпретации решений соответствующих математических и экономических моделей.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Style w:val="212pt"/>
                <w:rFonts w:eastAsia="Calibri"/>
                <w:sz w:val="20"/>
                <w:szCs w:val="20"/>
              </w:rPr>
              <w:t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b/>
                <w:b/>
                <w:sz w:val="23"/>
                <w:szCs w:val="23"/>
              </w:rPr>
            </w:pPr>
            <w:r>
              <w:rPr>
                <w:rStyle w:val="212pt"/>
                <w:rFonts w:eastAsia="Calibri"/>
                <w:sz w:val="20"/>
                <w:szCs w:val="20"/>
              </w:rPr>
              <w:t>2.Применяет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Знает: </w:t>
            </w:r>
            <w:r>
              <w:rPr>
                <w:rFonts w:ascii="Times New Roman" w:hAnsi="Times New Roman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ind w:left="-123" w:firstLine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ind w:left="-123" w:firstLine="2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ind w:left="-123" w:firstLine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ind w:left="-123" w:firstLine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Знает: </w:t>
            </w:r>
            <w:r>
              <w:rPr>
                <w:rFonts w:ascii="Times New Roman" w:hAnsi="Times New Roman"/>
              </w:rPr>
              <w:t>варианты решения профессиональных задач в условиях неопределенности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>
                <w:rFonts w:ascii="Times New Roman" w:hAnsi="Times New Roman"/>
              </w:rPr>
              <w:t>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варианты решения профессиональных задач в условиях неопределенности и методы исследований 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/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Пороговый уровень</w:t>
            </w:r>
          </w:p>
        </w:tc>
      </w:tr>
      <w:tr>
        <w:trPr/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Достаточно полные знания основных понятий, методов расчетов и технологий теории вероятностей , необходимых для решения задач прикладного характера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Style13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самостоятельно  разрабатывать теоретико-статистические модели реальных процессов, проводить их математический анализ, решать профессиональные задачи в нестандартной ситуации</w:t>
            </w:r>
          </w:p>
          <w:p>
            <w:pPr>
              <w:pStyle w:val="Style13"/>
              <w:widowControl w:val="false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</w:rPr>
              <w:t>Обладает навыками математической формализаций экономических задач, анализа и интерпретации решений соответствующих математических и экономических моделей.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Style w:val="212pt"/>
                <w:rFonts w:eastAsia="Calibri"/>
                <w:sz w:val="20"/>
                <w:szCs w:val="20"/>
              </w:rPr>
              <w:t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NoSpacing"/>
              <w:widowControl w:val="false"/>
              <w:rPr>
                <w:b/>
                <w:b/>
                <w:sz w:val="23"/>
                <w:szCs w:val="23"/>
              </w:rPr>
            </w:pPr>
            <w:r>
              <w:rPr>
                <w:rStyle w:val="212pt"/>
                <w:rFonts w:eastAsia="Calibri"/>
                <w:sz w:val="20"/>
                <w:szCs w:val="20"/>
              </w:rPr>
              <w:t>2.Применяет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Знает: хорошо </w:t>
            </w:r>
            <w:r>
              <w:rPr>
                <w:rFonts w:ascii="Times New Roman" w:hAnsi="Times New Roman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Знает: хорошо </w:t>
            </w:r>
            <w:r>
              <w:rPr>
                <w:rFonts w:ascii="Times New Roman" w:hAnsi="Times New Roman"/>
              </w:rPr>
              <w:t>варианты решения профессиональных задач в условиях неопределенности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>
                <w:rFonts w:ascii="Times New Roman" w:hAnsi="Times New Roman"/>
              </w:rPr>
              <w:t>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варианты решения профессиональных задач в условиях неопределенности и методы исследований 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/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Продвинутый уровень</w:t>
            </w:r>
          </w:p>
        </w:tc>
      </w:tr>
      <w:tr>
        <w:trPr/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Систематизированные, глубокие и полные знания базовых понятий, методов расчетов и технологий теории, необходимых для решения задач прикладного характера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b/>
              </w:rPr>
              <w:t xml:space="preserve"> </w:t>
            </w:r>
            <w:r>
              <w:rPr>
                <w:rFonts w:ascii="Times New Roman" w:hAnsi="Times New Roman"/>
              </w:rPr>
              <w:t>Выраженная способность самостоятельно и творчески разрабатывать теоретико-статистические модели реальных процессов, проводить их математический анализ, решать профессиональные задачи в нестандартной ситуации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Ярко выражены навыки математической формализаций экономических задач, анализа и интерпретации решений соответствующих математических и экономических моделей.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Style w:val="212pt"/>
                <w:rFonts w:eastAsia="Calibri"/>
                <w:sz w:val="20"/>
                <w:szCs w:val="20"/>
              </w:rPr>
              <w:t>1. 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43" w:leader="none"/>
              </w:tabs>
              <w:ind w:left="0" w:hanging="0"/>
              <w:jc w:val="both"/>
              <w:rPr>
                <w:rStyle w:val="212pt"/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  <w:p>
            <w:pPr>
              <w:pStyle w:val="NoSpacing"/>
              <w:widowControl w:val="false"/>
              <w:rPr>
                <w:b/>
                <w:b/>
                <w:sz w:val="23"/>
                <w:szCs w:val="23"/>
              </w:rPr>
            </w:pPr>
            <w:r>
              <w:rPr>
                <w:rStyle w:val="212pt"/>
                <w:rFonts w:eastAsia="Calibri"/>
                <w:sz w:val="20"/>
                <w:szCs w:val="20"/>
              </w:rPr>
              <w:t>2.Применяет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Знает: на высоком уровне  </w:t>
            </w:r>
            <w:r>
              <w:rPr>
                <w:rFonts w:ascii="Times New Roman" w:hAnsi="Times New Roman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основные понятия, методики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расчетов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высшей математики, необходимые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проведения анализа деятельности экономического субъекта, тактических и стратегических управленческих решений.</w:t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</w:rPr>
              <w:t xml:space="preserve">Знает: на высоком уровне  </w:t>
            </w:r>
            <w:r>
              <w:rPr>
                <w:rFonts w:ascii="Times New Roman" w:hAnsi="Times New Roman"/>
              </w:rPr>
              <w:t>варианты решения профессиональных задач в условиях неопределенности и методы исследований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>
                <w:rFonts w:ascii="Times New Roman" w:hAnsi="Times New Roman"/>
              </w:rPr>
              <w:t>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>
                <w:rFonts w:eastAsia="Times New Roman" w:ascii="Times New Roman" w:hAnsi="Times New Roman"/>
              </w:rPr>
              <w:t xml:space="preserve">Умеет: применять </w:t>
            </w:r>
            <w:r>
              <w:rPr>
                <w:rFonts w:ascii="Times New Roman" w:hAnsi="Times New Roman"/>
              </w:rPr>
              <w:t>варианты решения профессиональных задач в условиях неопределенности и методы исследований высшей математики.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/>
            </w:pPr>
            <w:r>
              <w:rPr/>
            </w:r>
          </w:p>
          <w:p>
            <w:pPr>
              <w:pStyle w:val="36"/>
              <w:widowControl w:val="false"/>
              <w:shd w:val="clear" w:color="auto" w:fill="auto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06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Высокий уровень</w:t>
            </w:r>
          </w:p>
        </w:tc>
      </w:tr>
    </w:tbl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4. Шкала оценки сформированных компетенций</w:t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exact" w:line="261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539" w:type="dxa"/>
        <w:jc w:val="left"/>
        <w:tblInd w:w="13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noVBand="1" w:val="04a0" w:noHBand="0" w:lastColumn="0" w:firstColumn="1" w:lastRow="0" w:firstRow="1"/>
      </w:tblPr>
      <w:tblGrid>
        <w:gridCol w:w="2170"/>
        <w:gridCol w:w="2466"/>
        <w:gridCol w:w="2523"/>
        <w:gridCol w:w="2338"/>
        <w:gridCol w:w="42"/>
      </w:tblGrid>
      <w:tr>
        <w:trPr>
          <w:trHeight w:val="280" w:hRule="atLeast"/>
        </w:trPr>
        <w:tc>
          <w:tcPr>
            <w:tcW w:w="21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 xml:space="preserve">Код </w:t>
              <w:br/>
              <w:t xml:space="preserve">и </w:t>
            </w:r>
            <w:r>
              <w:rPr>
                <w:rFonts w:eastAsia="Times New Roman" w:ascii="Times New Roman" w:hAnsi="Times New Roman"/>
                <w:b/>
                <w:bCs/>
                <w:w w:val="98"/>
                <w:sz w:val="24"/>
                <w:szCs w:val="24"/>
              </w:rPr>
              <w:t>наименование</w:t>
            </w:r>
          </w:p>
          <w:p>
            <w:pPr>
              <w:pStyle w:val="Normal"/>
              <w:widowControl w:val="false"/>
              <w:spacing w:lineRule="exact" w:line="256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компетенций</w:t>
            </w:r>
          </w:p>
        </w:tc>
        <w:tc>
          <w:tcPr>
            <w:tcW w:w="7327" w:type="dxa"/>
            <w:gridSpan w:val="3"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w w:val="99"/>
                <w:sz w:val="24"/>
                <w:szCs w:val="24"/>
              </w:rPr>
              <w:t>Соответствие уровней освоения компетенции планируемым</w:t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76" w:hRule="atLeast"/>
        </w:trPr>
        <w:tc>
          <w:tcPr>
            <w:tcW w:w="2170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327" w:type="dxa"/>
            <w:gridSpan w:val="3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результатам обучения и критериям их оценивания</w:t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68" w:hRule="atLeast"/>
        </w:trPr>
        <w:tc>
          <w:tcPr>
            <w:tcW w:w="2170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66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65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пороговый</w:t>
            </w:r>
          </w:p>
        </w:tc>
        <w:tc>
          <w:tcPr>
            <w:tcW w:w="252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65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sz w:val="24"/>
                <w:szCs w:val="24"/>
              </w:rPr>
              <w:t>базовый</w:t>
            </w:r>
          </w:p>
        </w:tc>
        <w:tc>
          <w:tcPr>
            <w:tcW w:w="2338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65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w w:val="99"/>
                <w:sz w:val="24"/>
                <w:szCs w:val="24"/>
              </w:rPr>
              <w:t>продвинутый</w:t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66" w:hRule="atLeast"/>
        </w:trPr>
        <w:tc>
          <w:tcPr>
            <w:tcW w:w="2170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</w:tc>
        <w:tc>
          <w:tcPr>
            <w:tcW w:w="2466" w:type="dxa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</w:tc>
        <w:tc>
          <w:tcPr>
            <w:tcW w:w="2523" w:type="dxa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64"/>
              <w:ind w:left="520" w:hanging="0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w w:val="98"/>
                <w:sz w:val="24"/>
                <w:szCs w:val="24"/>
              </w:rPr>
              <w:t>Оценка</w:t>
            </w:r>
          </w:p>
        </w:tc>
        <w:tc>
          <w:tcPr>
            <w:tcW w:w="2338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75" w:hRule="atLeast"/>
        </w:trPr>
        <w:tc>
          <w:tcPr>
            <w:tcW w:w="2170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66" w:type="dxa"/>
            <w:vMerge w:val="restart"/>
            <w:tcBorders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58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2523" w:type="dxa"/>
            <w:vMerge w:val="restart"/>
            <w:tcBorders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58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w w:val="99"/>
                <w:sz w:val="24"/>
                <w:szCs w:val="24"/>
              </w:rPr>
              <w:t>Хорошо</w:t>
            </w:r>
          </w:p>
        </w:tc>
        <w:tc>
          <w:tcPr>
            <w:tcW w:w="2338" w:type="dxa"/>
            <w:vMerge w:val="restart"/>
            <w:tcBorders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58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w w:val="99"/>
                <w:sz w:val="24"/>
                <w:szCs w:val="24"/>
              </w:rPr>
              <w:t>Отлично</w:t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80" w:hRule="atLeast"/>
        </w:trPr>
        <w:tc>
          <w:tcPr>
            <w:tcW w:w="2170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66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23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8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" w:type="dxa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61" w:hRule="atLeast"/>
        </w:trPr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4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60"/>
              <w:ind w:left="80" w:hanging="0"/>
              <w:jc w:val="center"/>
              <w:rPr>
                <w:rFonts w:ascii="Times New Roman" w:hAnsi="Times New Roman" w:eastAsia="Times New Roman"/>
                <w:b/>
                <w:b/>
                <w:iCs/>
              </w:rPr>
            </w:pPr>
            <w:r>
              <w:rPr>
                <w:rFonts w:eastAsia="Times New Roman" w:ascii="Times New Roman" w:hAnsi="Times New Roman"/>
                <w:b/>
                <w:iCs/>
              </w:rPr>
              <w:t>2</w:t>
            </w:r>
          </w:p>
        </w:tc>
        <w:tc>
          <w:tcPr>
            <w:tcW w:w="252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60"/>
              <w:ind w:left="100" w:hanging="0"/>
              <w:jc w:val="center"/>
              <w:rPr>
                <w:rFonts w:ascii="Times New Roman" w:hAnsi="Times New Roman" w:eastAsia="Times New Roman"/>
                <w:b/>
                <w:b/>
                <w:iCs/>
              </w:rPr>
            </w:pPr>
            <w:r>
              <w:rPr>
                <w:rFonts w:eastAsia="Times New Roman" w:ascii="Times New Roman" w:hAnsi="Times New Roman"/>
                <w:b/>
                <w:iCs/>
              </w:rPr>
              <w:t>3</w:t>
            </w:r>
          </w:p>
        </w:tc>
        <w:tc>
          <w:tcPr>
            <w:tcW w:w="233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exact" w:line="260"/>
              <w:ind w:left="100" w:hanging="0"/>
              <w:jc w:val="center"/>
              <w:rPr>
                <w:rFonts w:ascii="Times New Roman" w:hAnsi="Times New Roman" w:eastAsia="Times New Roman"/>
                <w:b/>
                <w:b/>
                <w:iCs/>
              </w:rPr>
            </w:pPr>
            <w:r>
              <w:rPr>
                <w:rFonts w:eastAsia="Times New Roman" w:ascii="Times New Roman" w:hAnsi="Times New Roman"/>
                <w:b/>
                <w:iCs/>
              </w:rPr>
              <w:t>4</w:t>
            </w:r>
          </w:p>
        </w:tc>
        <w:tc>
          <w:tcPr>
            <w:tcW w:w="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</w:tr>
      <w:tr>
        <w:trPr>
          <w:trHeight w:val="258" w:hRule="atLeast"/>
        </w:trPr>
        <w:tc>
          <w:tcPr>
            <w:tcW w:w="2170" w:type="dxa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66" w:type="dxa"/>
            <w:vMerge w:val="restart"/>
            <w:tcBorders>
              <w:top w:val="single" w:sz="12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ind w:left="80" w:hanging="0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sz w:val="24"/>
                <w:szCs w:val="24"/>
              </w:rPr>
              <w:t>Контрольная</w:t>
            </w:r>
          </w:p>
          <w:p>
            <w:pPr>
              <w:pStyle w:val="Normal"/>
              <w:widowControl w:val="false"/>
              <w:ind w:left="80" w:hanging="0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iCs/>
                <w:sz w:val="24"/>
                <w:szCs w:val="24"/>
              </w:rPr>
              <w:t>работа</w:t>
            </w:r>
          </w:p>
        </w:tc>
        <w:tc>
          <w:tcPr>
            <w:tcW w:w="2523" w:type="dxa"/>
            <w:vMerge w:val="restart"/>
            <w:tcBorders>
              <w:top w:val="single" w:sz="12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ind w:left="100" w:hanging="0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sz w:val="24"/>
                <w:szCs w:val="24"/>
              </w:rPr>
              <w:t>Контрольная</w:t>
            </w:r>
          </w:p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iCs/>
                <w:sz w:val="24"/>
                <w:szCs w:val="24"/>
              </w:rPr>
              <w:t>работа</w:t>
            </w:r>
          </w:p>
        </w:tc>
        <w:tc>
          <w:tcPr>
            <w:tcW w:w="2338" w:type="dxa"/>
            <w:vMerge w:val="restart"/>
            <w:tcBorders>
              <w:top w:val="single" w:sz="12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sz w:val="24"/>
                <w:szCs w:val="24"/>
              </w:rPr>
              <w:t>Контрольная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iCs/>
                <w:sz w:val="24"/>
                <w:szCs w:val="24"/>
              </w:rPr>
              <w:t>работа</w:t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76" w:hRule="atLeast"/>
        </w:trPr>
        <w:tc>
          <w:tcPr>
            <w:tcW w:w="217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66" w:type="dxa"/>
            <w:vMerge w:val="continue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ind w:left="8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23" w:type="dxa"/>
            <w:vMerge w:val="continue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8" w:type="dxa"/>
            <w:vMerge w:val="continue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80" w:hRule="atLeast"/>
        </w:trPr>
        <w:tc>
          <w:tcPr>
            <w:tcW w:w="217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w w:val="99"/>
                <w:sz w:val="28"/>
                <w:szCs w:val="28"/>
              </w:rPr>
              <w:t>ПКН - 3</w:t>
            </w:r>
          </w:p>
        </w:tc>
        <w:tc>
          <w:tcPr>
            <w:tcW w:w="2466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2523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2338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56" w:hRule="atLeast"/>
        </w:trPr>
        <w:tc>
          <w:tcPr>
            <w:tcW w:w="2170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66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Выполнение  индивидуальных заданий</w:t>
            </w:r>
          </w:p>
        </w:tc>
        <w:tc>
          <w:tcPr>
            <w:tcW w:w="2523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Выполнение  индивидуальных заданий</w:t>
            </w:r>
          </w:p>
        </w:tc>
        <w:tc>
          <w:tcPr>
            <w:tcW w:w="2338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Выполнение  индивидуальных заданий</w:t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80" w:hRule="atLeast"/>
        </w:trPr>
        <w:tc>
          <w:tcPr>
            <w:tcW w:w="217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bCs/>
                <w:w w:val="99"/>
                <w:sz w:val="28"/>
                <w:szCs w:val="28"/>
              </w:rPr>
              <w:t>ПКН - 4</w:t>
            </w:r>
          </w:p>
        </w:tc>
        <w:tc>
          <w:tcPr>
            <w:tcW w:w="2466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ind w:left="8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23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8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81" w:hRule="atLeast"/>
        </w:trPr>
        <w:tc>
          <w:tcPr>
            <w:tcW w:w="217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63" w:hRule="atLeast"/>
        </w:trPr>
        <w:tc>
          <w:tcPr>
            <w:tcW w:w="217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66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523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338" w:type="dxa"/>
            <w:vMerge w:val="restart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473" w:hRule="atLeast"/>
        </w:trPr>
        <w:tc>
          <w:tcPr>
            <w:tcW w:w="217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38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58" w:hRule="atLeast"/>
        </w:trPr>
        <w:tc>
          <w:tcPr>
            <w:tcW w:w="217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66" w:type="dxa"/>
            <w:vMerge w:val="restart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523" w:type="dxa"/>
            <w:vMerge w:val="restart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38" w:type="dxa"/>
            <w:vMerge w:val="restart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80" w:hRule="atLeast"/>
        </w:trPr>
        <w:tc>
          <w:tcPr>
            <w:tcW w:w="21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66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3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8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58" w:hRule="atLeast"/>
        </w:trPr>
        <w:tc>
          <w:tcPr>
            <w:tcW w:w="2170" w:type="dxa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66" w:type="dxa"/>
            <w:vMerge w:val="restart"/>
            <w:tcBorders>
              <w:top w:val="single" w:sz="12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ind w:left="80" w:hanging="0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sz w:val="24"/>
                <w:szCs w:val="24"/>
              </w:rPr>
              <w:t>Контрольная</w:t>
            </w:r>
          </w:p>
          <w:p>
            <w:pPr>
              <w:pStyle w:val="Normal"/>
              <w:widowControl w:val="false"/>
              <w:ind w:left="80" w:hanging="0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iCs/>
                <w:sz w:val="24"/>
                <w:szCs w:val="24"/>
              </w:rPr>
              <w:t>работа</w:t>
            </w:r>
          </w:p>
        </w:tc>
        <w:tc>
          <w:tcPr>
            <w:tcW w:w="2523" w:type="dxa"/>
            <w:vMerge w:val="restart"/>
            <w:tcBorders>
              <w:top w:val="single" w:sz="12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ind w:left="100" w:hanging="0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sz w:val="24"/>
                <w:szCs w:val="24"/>
              </w:rPr>
              <w:t>Контрольная</w:t>
            </w:r>
          </w:p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iCs/>
                <w:sz w:val="24"/>
                <w:szCs w:val="24"/>
              </w:rPr>
              <w:t>работа</w:t>
            </w:r>
          </w:p>
        </w:tc>
        <w:tc>
          <w:tcPr>
            <w:tcW w:w="2338" w:type="dxa"/>
            <w:vMerge w:val="restart"/>
            <w:tcBorders>
              <w:top w:val="single" w:sz="12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iCs/>
                <w:sz w:val="24"/>
                <w:szCs w:val="24"/>
              </w:rPr>
              <w:t>Контрольная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iCs/>
                <w:sz w:val="24"/>
                <w:szCs w:val="24"/>
              </w:rPr>
              <w:t>работа</w:t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76" w:hRule="atLeast"/>
        </w:trPr>
        <w:tc>
          <w:tcPr>
            <w:tcW w:w="217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w w:val="99"/>
                <w:sz w:val="28"/>
                <w:szCs w:val="28"/>
              </w:rPr>
              <w:t>ПКП - 1</w:t>
            </w:r>
          </w:p>
        </w:tc>
        <w:tc>
          <w:tcPr>
            <w:tcW w:w="2466" w:type="dxa"/>
            <w:vMerge w:val="continue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ind w:left="8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23" w:type="dxa"/>
            <w:vMerge w:val="continue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8" w:type="dxa"/>
            <w:vMerge w:val="continue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80" w:hRule="atLeast"/>
        </w:trPr>
        <w:tc>
          <w:tcPr>
            <w:tcW w:w="217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66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2523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2338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56" w:hRule="atLeast"/>
        </w:trPr>
        <w:tc>
          <w:tcPr>
            <w:tcW w:w="2170" w:type="dxa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66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Выполнение  индивидуальных заданий</w:t>
            </w:r>
          </w:p>
        </w:tc>
        <w:tc>
          <w:tcPr>
            <w:tcW w:w="2523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Выполнение  индивидуальных заданий</w:t>
            </w:r>
          </w:p>
        </w:tc>
        <w:tc>
          <w:tcPr>
            <w:tcW w:w="2338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Выполнение  индивидуальных заданий</w:t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80" w:hRule="atLeast"/>
        </w:trPr>
        <w:tc>
          <w:tcPr>
            <w:tcW w:w="217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66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ind w:left="8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23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8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81" w:hRule="atLeast"/>
        </w:trPr>
        <w:tc>
          <w:tcPr>
            <w:tcW w:w="217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ind w:left="10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63" w:hRule="atLeast"/>
        </w:trPr>
        <w:tc>
          <w:tcPr>
            <w:tcW w:w="217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66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523" w:type="dxa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338" w:type="dxa"/>
            <w:vMerge w:val="restart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473" w:hRule="atLeast"/>
        </w:trPr>
        <w:tc>
          <w:tcPr>
            <w:tcW w:w="217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38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58" w:hRule="atLeast"/>
        </w:trPr>
        <w:tc>
          <w:tcPr>
            <w:tcW w:w="217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66" w:type="dxa"/>
            <w:vMerge w:val="restart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523" w:type="dxa"/>
            <w:vMerge w:val="restart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338" w:type="dxa"/>
            <w:vMerge w:val="restart"/>
            <w:tcBorders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80" w:hRule="atLeast"/>
        </w:trPr>
        <w:tc>
          <w:tcPr>
            <w:tcW w:w="21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66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23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8" w:type="dxa"/>
            <w:vMerge w:val="continue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" w:type="dxa"/>
            <w:tcBorders/>
            <w:vAlign w:val="bottom"/>
          </w:tcPr>
          <w:p>
            <w:pPr>
              <w:pStyle w:val="Normal"/>
              <w:widowControl w:val="false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</w:tbl>
    <w:p>
      <w:pPr>
        <w:pStyle w:val="Normal"/>
        <w:spacing w:lineRule="exact" w:line="196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участие в дискуссиях по проблемным темам дисциплины; </w:t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выполнение тестовых заданий и их обсуждение;</w:t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выполнение домашних контрольных работ.</w:t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Промежуточная аттестация по дисциплине   проводится в форме </w:t>
      </w:r>
      <w:r>
        <w:rPr>
          <w:rFonts w:cs="Times New Roman" w:ascii="Times New Roman" w:hAnsi="Times New Roman"/>
          <w:sz w:val="28"/>
          <w:szCs w:val="28"/>
          <w:u w:val="single"/>
        </w:rPr>
        <w:t>зачета (экзамена).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оценки за работу в семестре/модуле (участие в дискуссиях, написание домашней контрольной работы и т.д.); </w:t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Symbol" w:cs="Symbol" w:ascii="Symbol" w:hAnsi="Symbol"/>
          <w:sz w:val="28"/>
          <w:szCs w:val="28"/>
        </w:rPr>
        <w:t>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оценки, полученной на </w:t>
      </w:r>
      <w:r>
        <w:rPr>
          <w:rFonts w:cs="Times New Roman" w:ascii="Times New Roman" w:hAnsi="Times New Roman"/>
          <w:sz w:val="28"/>
          <w:szCs w:val="28"/>
          <w:u w:val="single"/>
        </w:rPr>
        <w:t>зачете (экзамене)</w:t>
      </w:r>
      <w:r>
        <w:rPr>
          <w:rFonts w:cs="Times New Roman" w:ascii="Times New Roman" w:hAnsi="Times New Roman"/>
          <w:sz w:val="28"/>
          <w:szCs w:val="28"/>
        </w:rPr>
        <w:t xml:space="preserve">. </w:t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</w:rPr>
        <w:t>Оценка знаний по 100-балльной шкале реализуется в соответствии с критериями балльно-рейтинговой системы Финансового университета.</w:t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tbl>
      <w:tblPr>
        <w:tblStyle w:val="a3"/>
        <w:tblW w:w="9480" w:type="dxa"/>
        <w:jc w:val="left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971"/>
        <w:gridCol w:w="1980"/>
        <w:gridCol w:w="1529"/>
      </w:tblGrid>
      <w:tr>
        <w:trPr/>
        <w:tc>
          <w:tcPr>
            <w:tcW w:w="597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lang w:val="ru-RU"/>
              </w:rPr>
              <w:t>Требования к результатам освоения дисциплины</w:t>
            </w:r>
          </w:p>
        </w:tc>
        <w:tc>
          <w:tcPr>
            <w:tcW w:w="198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lang w:val="ru-RU"/>
              </w:rPr>
              <w:t>Оценка или зачет</w:t>
            </w:r>
          </w:p>
        </w:tc>
        <w:tc>
          <w:tcPr>
            <w:tcW w:w="152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lang w:val="ru-RU"/>
              </w:rPr>
              <w:t>Баллы (рейтиговая оценка)</w:t>
            </w:r>
          </w:p>
        </w:tc>
      </w:tr>
      <w:tr>
        <w:trPr/>
        <w:tc>
          <w:tcPr>
            <w:tcW w:w="597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/>
              </w:rPr>
              <w:t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в семестре.</w:t>
            </w:r>
          </w:p>
        </w:tc>
        <w:tc>
          <w:tcPr>
            <w:tcW w:w="198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/>
              </w:rPr>
              <w:t>Отлично/ Зачтено</w:t>
            </w:r>
          </w:p>
        </w:tc>
        <w:tc>
          <w:tcPr>
            <w:tcW w:w="152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/>
              </w:rPr>
              <w:t>86-100</w:t>
            </w:r>
          </w:p>
        </w:tc>
      </w:tr>
      <w:tr>
        <w:trPr/>
        <w:tc>
          <w:tcPr>
            <w:tcW w:w="597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/>
              </w:rPr>
              <w:t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в семестре</w:t>
            </w:r>
          </w:p>
        </w:tc>
        <w:tc>
          <w:tcPr>
            <w:tcW w:w="198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/>
              </w:rPr>
              <w:t>Хорошо/ Зачтено</w:t>
            </w:r>
          </w:p>
        </w:tc>
        <w:tc>
          <w:tcPr>
            <w:tcW w:w="152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/>
              </w:rPr>
              <w:t>70-85</w:t>
            </w:r>
          </w:p>
        </w:tc>
      </w:tr>
      <w:tr>
        <w:trPr/>
        <w:tc>
          <w:tcPr>
            <w:tcW w:w="597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198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/>
              </w:rPr>
              <w:t>Удовлет. / Зачтено</w:t>
            </w:r>
          </w:p>
        </w:tc>
        <w:tc>
          <w:tcPr>
            <w:tcW w:w="152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/>
              </w:rPr>
              <w:t>51-69</w:t>
            </w:r>
          </w:p>
        </w:tc>
      </w:tr>
      <w:tr>
        <w:trPr/>
        <w:tc>
          <w:tcPr>
            <w:tcW w:w="597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198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/>
              </w:rPr>
              <w:t>Неудовлет. / Незачтено</w:t>
            </w:r>
          </w:p>
        </w:tc>
        <w:tc>
          <w:tcPr>
            <w:tcW w:w="152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49" w:leader="none"/>
              </w:tabs>
              <w:suppressAutoHyphens w:val="true"/>
              <w:spacing w:before="0" w:after="0"/>
              <w:ind w:left="0" w:hanging="0"/>
              <w:jc w:val="lef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lang w:val="ru-RU"/>
              </w:rPr>
              <w:t>0-50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1149" w:leader="none"/>
        </w:tabs>
        <w:ind w:left="91" w:firstLine="709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5.  Типовые контрольные задания и иные материалы, необходимые для оценки планируемых результатов обучения по дисциплине (оценочные средства). </w:t>
      </w:r>
    </w:p>
    <w:p>
      <w:pPr>
        <w:pStyle w:val="Normal"/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Примеры контрольного тестирования, темы контрольных, курсовых  работ, рефератов, варианты домашнего творческого задания, расчетно-аналитической работы.</w:t>
      </w:r>
    </w:p>
    <w:p>
      <w:pPr>
        <w:pStyle w:val="35"/>
        <w:shd w:val="clear" w:color="auto" w:fill="auto"/>
        <w:tabs>
          <w:tab w:val="clear" w:pos="708"/>
          <w:tab w:val="left" w:pos="915" w:leader="none"/>
        </w:tabs>
        <w:spacing w:lineRule="auto" w:line="240" w:before="0" w:after="200"/>
        <w:ind w:left="357" w:hanging="0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35"/>
        <w:shd w:val="clear" w:color="auto" w:fill="auto"/>
        <w:tabs>
          <w:tab w:val="clear" w:pos="708"/>
          <w:tab w:val="left" w:pos="915" w:leader="none"/>
        </w:tabs>
        <w:spacing w:lineRule="auto" w:line="240" w:before="0" w:after="200"/>
        <w:ind w:left="357" w:hanging="0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Примеры внеаудиторных самостоятельных работ </w:t>
      </w:r>
    </w:p>
    <w:p>
      <w:pPr>
        <w:pStyle w:val="Normal"/>
        <w:ind w:left="91" w:firstLine="709"/>
        <w:jc w:val="center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Контрольная работа (часть 1 – по формулам)</w:t>
      </w:r>
    </w:p>
    <w:p>
      <w:pPr>
        <w:pStyle w:val="Normal"/>
        <w:ind w:left="9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Выполнить коммерческие расчеты, используя данные, приведенные в таблице. В условиях задачи значения параметров приведены в виде переменных, по именам которых из таблицы необходимо выбрать соответствующие численные значения параметров и выполнить расчеты.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115"/>
        <w:gridCol w:w="1136"/>
        <w:gridCol w:w="1287"/>
        <w:gridCol w:w="1570"/>
        <w:gridCol w:w="1116"/>
        <w:gridCol w:w="1114"/>
        <w:gridCol w:w="1119"/>
        <w:gridCol w:w="1112"/>
      </w:tblGrid>
      <w:tr>
        <w:trPr>
          <w:trHeight w:val="1683" w:hRule="atLeast"/>
          <w:cantSplit w:val="true"/>
        </w:trPr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Сумма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начальная Тн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конечная Тк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в днях Тдн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в годах Тлет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Ставка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начислений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</w:tr>
      <w:tr>
        <w:trPr/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500 000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11.10.13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25.11.2013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>
        <w:trPr/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700 000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14.02.13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31.03.2013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>
        <w:trPr/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450 000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13.11.13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28.12.2013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>
        <w:trPr/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370 000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14.05.13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28.06.2013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>
        <w:trPr/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440 000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15.06.13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30.07.2013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>
        <w:trPr/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543 000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17.07.13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31.08.2013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>
        <w:trPr/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375 000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05.11.13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20.12.2013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>
        <w:trPr/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870 000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07.07.14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21.08.2014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>
        <w:trPr/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960 000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11.11.13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26.12.2013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>
        <w:trPr/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970 000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20.10.13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04.12.2013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>
      <w:pPr>
        <w:pStyle w:val="Normal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8"/>
          <w:szCs w:val="8"/>
        </w:rPr>
      </w:r>
    </w:p>
    <w:p>
      <w:pPr>
        <w:pStyle w:val="ListParagraph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 выдал ссуду размером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рублей. Дата выдачи ссуды – Тн, возврата – Тк. День выдачи и день возврата считать за 1 день. Проценты рассчитываются по простой процентной ставке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% годовых. Найти: точные проценты с точным числом дней ссуды; обыкновенные проценты с точным числом дней ссуды; обыкновенные проценты с приближенным числом дней ссуды</w:t>
      </w:r>
    </w:p>
    <w:p>
      <w:pPr>
        <w:pStyle w:val="Normal"/>
        <w:ind w:left="9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  <w:tab/>
        <w:t xml:space="preserve">Через Тдн дней после подписания договора должник уплатит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рублей. Кредит выдан под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% годовых (проценты простые). Какова первоначальная сумма и дисконт?</w:t>
      </w:r>
    </w:p>
    <w:p>
      <w:pPr>
        <w:pStyle w:val="Normal"/>
        <w:ind w:left="9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  <w:tab/>
        <w:t xml:space="preserve">Через Тдн дней предприятие должно получить по векселю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рублей.  Банк приобрел этот вексель с дисконтом. Банк учел вексель по учетной ставке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% годовых (год равен 360 дням). Определить полученную предприятием сумму и дисконт.</w:t>
      </w:r>
    </w:p>
    <w:p>
      <w:pPr>
        <w:pStyle w:val="Normal"/>
        <w:ind w:left="9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  <w:tab/>
        <w:t xml:space="preserve">В кредитном договоре на сумму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рублей и сроком на Тлет зафиксирована ставка сложных процентов, равная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% годовых. Определить наращенную сумму.</w:t>
      </w:r>
    </w:p>
    <w:p>
      <w:pPr>
        <w:pStyle w:val="Normal"/>
        <w:ind w:left="9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  <w:tab/>
        <w:t xml:space="preserve">Ссуда размером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 рублей предоставлена на Тлет. Проценты сложные, ставка –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% годовых. Проценты начисляются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раз в году. Вычислить наращенную сумму.</w:t>
      </w:r>
    </w:p>
    <w:p>
      <w:pPr>
        <w:pStyle w:val="Normal"/>
        <w:ind w:left="9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  <w:tab/>
        <w:t xml:space="preserve">Вычислить эффективную ставку процента, если банк начисляет проценты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раз в году, исходя из номинальной ставки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% годовых.</w:t>
      </w:r>
    </w:p>
    <w:p>
      <w:pPr>
        <w:pStyle w:val="Normal"/>
        <w:ind w:left="9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  <w:tab/>
        <w:t xml:space="preserve">Определить, какой должна быть номинальная процентная ставка при начислении процентов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 xml:space="preserve"> раз в году, чтобы обеспечить эффективную ставку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% годовых.</w:t>
      </w:r>
    </w:p>
    <w:p>
      <w:pPr>
        <w:pStyle w:val="Normal"/>
        <w:ind w:left="9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  <w:tab/>
        <w:t xml:space="preserve">Через Тлет предприятию будет выплачена сумма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рублей. Определить ее современную стоимость при условии, что применяется сложная процентная ставка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% годовых.</w:t>
      </w:r>
    </w:p>
    <w:p>
      <w:pPr>
        <w:pStyle w:val="Normal"/>
        <w:spacing w:before="200" w:after="0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</w:p>
    <w:p>
      <w:pPr>
        <w:pStyle w:val="Normal"/>
        <w:spacing w:before="200" w:after="0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Контрольная работа (часть 2 – с использованием финансовых функций)</w:t>
      </w:r>
    </w:p>
    <w:p>
      <w:pPr>
        <w:pStyle w:val="Normal"/>
        <w:ind w:left="91"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3</w:t>
      </w:r>
    </w:p>
    <w:p>
      <w:pPr>
        <w:pStyle w:val="Normal"/>
        <w:ind w:left="9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Определите, какая сумма окажется на счете, если вклад размером 50000 ден. ед положен под 8,5% годовых на 3 года, а проценты начисляются а) раз в полугодие б) ежегодно. Какова разница в сумме вклада.</w:t>
      </w:r>
    </w:p>
    <w:p>
      <w:pPr>
        <w:pStyle w:val="Normal"/>
        <w:ind w:left="9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Через какое время на счете окажется 550000 ден. ед. при начислении раз в полугодие.</w:t>
      </w:r>
    </w:p>
    <w:p>
      <w:pPr>
        <w:pStyle w:val="Normal"/>
        <w:ind w:left="9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Какую сумму необходимо положить на депозит, чтобы через четыре года она выросла до 200000 ден. ед. при норме процента 9% годовых?</w:t>
      </w:r>
    </w:p>
    <w:p>
      <w:pPr>
        <w:pStyle w:val="Normal"/>
        <w:ind w:left="9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Вас просят дать в долг 10000 ден.ед. и обещают возвращать по 2000 ден.ед. в течение 6 лет. Будет ли выгодна эта сделка при годовой ставке 7%. Начиная с каких выплат сделка будет выгодна?</w:t>
      </w:r>
    </w:p>
    <w:p>
      <w:pPr>
        <w:pStyle w:val="Normal"/>
        <w:ind w:left="9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Рассчитайте таблицу погашения займа размером 150000 ден.ед., выданного на три года под 18,7% годовых при полугодовом начислении.</w:t>
      </w:r>
    </w:p>
    <w:p>
      <w:pPr>
        <w:pStyle w:val="Normal"/>
        <w:ind w:left="9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Банк предлагает свои сберегательные сертификаты номиналом в 80000 под 37% годовых сроком на 2 года, гарантируя выплату в качестве погашения суммы, равной трем номиналам. Проанализировать выгодность операции для вкладчика.</w:t>
      </w:r>
    </w:p>
    <w:p>
      <w:pPr>
        <w:pStyle w:val="Normal"/>
        <w:tabs>
          <w:tab w:val="clear" w:pos="708"/>
          <w:tab w:val="left" w:pos="426" w:leader="none"/>
        </w:tabs>
        <w:ind w:left="91"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теоретические Вопросы для подготовки к экзамену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Простые проценты. Сложные проценты. Кратное начисление процентов.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Непрерывное начисление процентов. Сравнение наращения по простой и сложной ставкам процента.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Дисконтирование и удержание процентов. Сравнение дисконтирования по сложной и простой учетной ставкам.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 xml:space="preserve">Правило 70”. Обобщение “Правила 70” . “Правило 100”.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капитала в произвольное число раз.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инфляции на ставку процента. Формула Фишера. Темп инфляции за несколько периодов.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Эффективная процентная ставка. Кратное начисление процентов. n–ый период начисления.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Эквивалентность различных процентных ставок: простых и сложных процентов, простых и непрерывных процентов, сложных и непрерывных процентов.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финансового потока. Приведенная и наращенная величины финансового потока. Средний срок финансового потока.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Непрерывные потоки платежей.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Внутренняя норма доходности. Внутренняя норма доходности типичных инвестиционных потоков.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Регулярные потоки платежей. Обыкновенные ренты.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Ренты постнумерандо и пренумерандо. Коэффициенты приведения и наращения рент.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Связь между приведенной величиной и наращенной суммой аннуитета.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Связь между коэффициентами приведения и наращения рент пренумерандо и постнумерандо.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 параметров ренты.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Вечные, кратные ренты. р – срочная рента (случаи k = 1, k ≠ p, k = p ).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Связь между приведенной и наращенной величинами p – срочной ренты (случаи k = 1, k ≠ p, k = p ).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Непрерывные ренты. Связь между приведенной и наращенной величинами произвольных рент.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Сравнение финансовых потоков и рент. Общий принцип сравнения финансовых потоков и рент.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Сравнение годовых и срочных рент. Конверсия рент.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Замена одной ренты другой. Изменение параметров ренты.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Замена обычной ренты срочной. Консолидация рент.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Выкуп ренты. Рассрочка платежа.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Текущая стоимость облигации. Текущая доходность и доходность к погашению. Зависимость доходности к погашению облигации от параметров.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Дополнительные характеристики облигации. Средний срок поступления дохода. Дюрация облигации и ее свойства. Выпуклость облигации.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Доходность финансовой операции. Доходность за несколько периодов.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Синергетический эффект.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Риск финансовой операции. Количественная оценка риска финансовой операции. Коррелированность финансовых операций.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Финансовые операции в условиях неопределенности. Матрицы последствий и рисков.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решений в условиях полной неопределенности. Пpaвила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Вальда, Сэвиджа, Гурвица.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решений в условиях частичной неопределенности.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Правило максимизации среднего ожидаемого дохода.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Правило минимизации сpeднeгo oжидaeмoгo pиcка.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Оптимальная (по Парето) финансовая операция.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Правило Лапласа равновозможности.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Доходность ценной бумаги и портфеля, связь между ними.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Портфель из двух бумаг. Случай полной корреляции. Случай полной антикорреляции. Независимые бумаги. Три независимые бумаги.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Портфель заданной эффективности. Портфель заданного риска.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Портфели из n–бумаг. Портфели Марковица.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Портфель минимального риска при заданной его эффективности. Минимальной граница и ее свойства.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Портфели Тобина. Портфель Тобина минимального риска из всех портфелей заданной эффективности, касательный портфель.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Портфель облигаций. Доходность портфеля облигаций. Средний срок поступления дохода портфеля облигаций.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Иммунизация портфеля облигаций. Дюрация портфеля облигаций. Выпуклость портфеля облигаций.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Понятия стоимости и структуры капитала компании. Стоимость собственного и заемного капитала. Структура капитала. Леверидж.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Теория Модильяни – Миллера без учета и с учетом корпоративных налогов.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Модификации теории Модильяни – Миллера.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капитала компании конечного возраста (теория БФО).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Классификация теорий  структуры капитала. </w:t>
      </w:r>
    </w:p>
    <w:p>
      <w:pPr>
        <w:pStyle w:val="ListParagraph"/>
        <w:numPr>
          <w:ilvl w:val="0"/>
          <w:numId w:val="3"/>
        </w:numPr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Дивидендная политика компании. Формула Уолтера и ее анализ.</w:t>
      </w:r>
    </w:p>
    <w:p>
      <w:pPr>
        <w:pStyle w:val="Normal"/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91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</w:t>
      </w:r>
      <w:r>
        <w:rPr>
          <w:rFonts w:cs="Times New Roman" w:ascii="Times New Roman" w:hAnsi="Times New Roman"/>
          <w:b/>
          <w:sz w:val="28"/>
          <w:szCs w:val="28"/>
        </w:rPr>
        <w:t xml:space="preserve">6.  Примеры оценочных средств для проверки </w:t>
      </w:r>
      <w:r>
        <w:rPr>
          <w:rFonts w:cs="Times New Roman" w:ascii="Times New Roman" w:hAnsi="Times New Roman"/>
          <w:b/>
          <w:sz w:val="28"/>
          <w:szCs w:val="28"/>
          <w:u w:val="single"/>
        </w:rPr>
        <w:t>каждой компетенции</w:t>
      </w:r>
    </w:p>
    <w:p>
      <w:pPr>
        <w:pStyle w:val="Normal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tbl>
      <w:tblPr>
        <w:tblStyle w:val="2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759"/>
        <w:gridCol w:w="6811"/>
      </w:tblGrid>
      <w:tr>
        <w:trPr>
          <w:trHeight w:val="475" w:hRule="atLeast"/>
        </w:trPr>
        <w:tc>
          <w:tcPr>
            <w:tcW w:w="2759" w:type="dxa"/>
            <w:tcBorders/>
          </w:tcPr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right="45" w:hanging="0"/>
              <w:jc w:val="center"/>
              <w:rPr>
                <w:b/>
                <w:b/>
                <w:iCs/>
                <w:sz w:val="24"/>
                <w:szCs w:val="24"/>
                <w:u w:val="singl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kern w:val="0"/>
                <w:sz w:val="24"/>
                <w:szCs w:val="24"/>
                <w:u w:val="single"/>
                <w:lang w:val="ru-RU"/>
              </w:rPr>
              <w:t>компетенция</w:t>
            </w:r>
          </w:p>
        </w:tc>
        <w:tc>
          <w:tcPr>
            <w:tcW w:w="6811" w:type="dxa"/>
            <w:tcBorders/>
          </w:tcPr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right="45" w:hanging="0"/>
              <w:jc w:val="center"/>
              <w:rPr>
                <w:b/>
                <w:b/>
                <w:iCs/>
                <w:sz w:val="24"/>
                <w:szCs w:val="24"/>
                <w:u w:val="single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kern w:val="0"/>
                <w:sz w:val="24"/>
                <w:szCs w:val="24"/>
                <w:u w:val="single"/>
                <w:lang w:val="ru-RU"/>
              </w:rPr>
              <w:t>типовые задания</w:t>
            </w:r>
          </w:p>
        </w:tc>
      </w:tr>
      <w:tr>
        <w:trPr/>
        <w:tc>
          <w:tcPr>
            <w:tcW w:w="2759" w:type="dxa"/>
            <w:tcBorders/>
          </w:tcPr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/>
              </w:rPr>
              <w:t>ПКН-3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ПКН-4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/>
              </w:rPr>
              <w:t>Способность оценивать показатели деятельности экономических субъектов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rStyle w:val="212pt"/>
                <w:rFonts w:eastAsia="Arial Unicode MS" w:cs="Times New Roman" w:ascii="Times New Roman" w:hAnsi="Times New Roman"/>
                <w:b/>
                <w:bCs/>
                <w:kern w:val="0"/>
                <w:sz w:val="20"/>
                <w:szCs w:val="20"/>
                <w:lang w:val="ru-RU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 (ПКП-1)</w:t>
            </w:r>
            <w:bookmarkStart w:id="0" w:name="_GoBack"/>
            <w:bookmarkEnd w:id="0"/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36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81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Непрерывные ренты. Связь между приведенной и наращенной величинами произвольных рент.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Сравнение финансовых потоков и рент. Общий принцип сравнения финансовых потоков и рент.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Сравнение годовых и срочных рент. Конверсия рент.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Замена одной ренты другой. Изменение параметров ренты.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Замена обычной ренты срочной. Консолидация рент.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Выкуп ренты. Рассрочка платежа.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Текущая стоимость облигации. Текущая доходность и доходность к погашению. Зависимость доходности к погашению облигации от параметров.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Дополнительные характеристики облигации. Средний срок поступления дохода. Дюрация облигации и ее свойства. Выпуклость облигации.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Доходность финансовой операции. Доходность за несколько периодов.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Синергетический эффект.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Риск финансовой операции. Количественная оценка риска финансовой операции. Коррелированность финансовых операций.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Финансовые операции в условиях неопределенности. Матрицы последствий и рисков.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Принятие решений в условиях полной неопределенности. Пpaвила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Вальда, Сэвиджа, Гурвица.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Принятие решений в условиях частичной неопределенности.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Правило максимизации среднего ожидаемого дохода.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Правило минимизации сpeднeгo oжидaeмoгo pиcка.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Оптимальная (по Парето) финансовая операция.</w:t>
            </w:r>
          </w:p>
          <w:p>
            <w:pPr>
              <w:pStyle w:val="2"/>
              <w:widowControl w:val="false"/>
              <w:numPr>
                <w:ilvl w:val="0"/>
                <w:numId w:val="0"/>
              </w:numPr>
              <w:shd w:val="clear" w:fill="FFFFFF"/>
              <w:suppressAutoHyphens w:val="true"/>
              <w:spacing w:lineRule="auto" w:line="360" w:before="0" w:after="0"/>
              <w:ind w:left="0" w:hanging="0"/>
              <w:outlineLvl w:val="1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709"/>
              <w:jc w:val="center"/>
              <w:rPr>
                <w:i/>
                <w:i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kern w:val="0"/>
                <w:sz w:val="28"/>
                <w:szCs w:val="28"/>
                <w:lang w:val="ru-RU"/>
              </w:rPr>
              <w:t>Контрольная работа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709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Выполнить коммерческие расчеты, используя данные, приведенные в таблице. В условиях задачи значения параметров приведены в виде переменных, по именам которых из таблицы необходимо выбрать соответствующие численные значения параметров и выполнить расчеты.</w:t>
            </w:r>
          </w:p>
          <w:tbl>
            <w:tblPr>
              <w:tblW w:w="6586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noVBand="1" w:val="04a0" w:noHBand="0" w:lastColumn="0" w:firstColumn="1" w:lastRow="0" w:firstRow="1"/>
            </w:tblPr>
            <w:tblGrid>
              <w:gridCol w:w="603"/>
              <w:gridCol w:w="741"/>
              <w:gridCol w:w="1287"/>
              <w:gridCol w:w="1568"/>
              <w:gridCol w:w="604"/>
              <w:gridCol w:w="573"/>
              <w:gridCol w:w="604"/>
              <w:gridCol w:w="605"/>
            </w:tblGrid>
            <w:tr>
              <w:trPr>
                <w:trHeight w:val="1683" w:hRule="atLeast"/>
                <w:cantSplit w:val="true"/>
              </w:trPr>
              <w:tc>
                <w:tcPr>
                  <w:tcW w:w="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>
                  <w:pPr>
                    <w:pStyle w:val="Normal"/>
                    <w:widowControl w:val="false"/>
                    <w:ind w:left="113" w:right="113" w:hanging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Вариант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>
                  <w:pPr>
                    <w:pStyle w:val="Normal"/>
                    <w:widowControl w:val="false"/>
                    <w:ind w:left="113" w:right="113" w:hanging="0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Сумма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S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>
                  <w:pPr>
                    <w:pStyle w:val="Normal"/>
                    <w:widowControl w:val="false"/>
                    <w:ind w:left="113" w:right="113" w:hanging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Дата начальная Тн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>
                  <w:pPr>
                    <w:pStyle w:val="Normal"/>
                    <w:widowControl w:val="false"/>
                    <w:ind w:left="113" w:right="113" w:hanging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Дата конечная Тк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>
                  <w:pPr>
                    <w:pStyle w:val="Normal"/>
                    <w:widowControl w:val="false"/>
                    <w:ind w:left="113" w:right="113" w:hanging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Время в днях Тдн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>
                  <w:pPr>
                    <w:pStyle w:val="Normal"/>
                    <w:widowControl w:val="false"/>
                    <w:ind w:left="113" w:right="113" w:hanging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Время в годах Тлет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>
                  <w:pPr>
                    <w:pStyle w:val="Normal"/>
                    <w:widowControl w:val="false"/>
                    <w:ind w:left="113" w:right="113" w:hanging="0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Ставка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i</w:t>
                  </w:r>
                </w:p>
              </w:tc>
              <w:tc>
                <w:tcPr>
                  <w:tcW w:w="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</w:tcPr>
                <w:p>
                  <w:pPr>
                    <w:pStyle w:val="Normal"/>
                    <w:widowControl w:val="false"/>
                    <w:ind w:left="113" w:right="113" w:hanging="0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Число начислений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m</w:t>
                  </w:r>
                </w:p>
              </w:tc>
            </w:tr>
            <w:tr>
              <w:trPr/>
              <w:tc>
                <w:tcPr>
                  <w:tcW w:w="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500 000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11.10.13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25.11.2013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56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</w:tr>
            <w:tr>
              <w:trPr/>
              <w:tc>
                <w:tcPr>
                  <w:tcW w:w="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700 000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14.02.13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31.03.2013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47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</w:tr>
            <w:tr>
              <w:trPr/>
              <w:tc>
                <w:tcPr>
                  <w:tcW w:w="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450 000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13.11.13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28.12.2013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46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</w:tr>
            <w:tr>
              <w:trPr/>
              <w:tc>
                <w:tcPr>
                  <w:tcW w:w="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370 000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14.05.13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28.06.2013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</w:tr>
            <w:tr>
              <w:trPr/>
              <w:tc>
                <w:tcPr>
                  <w:tcW w:w="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440 000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15.06.13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30.07.2013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</w:tr>
            <w:tr>
              <w:trPr/>
              <w:tc>
                <w:tcPr>
                  <w:tcW w:w="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543 000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17.07.13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31.08.2013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</w:tr>
            <w:tr>
              <w:trPr/>
              <w:tc>
                <w:tcPr>
                  <w:tcW w:w="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375 000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05.11.13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20.12.2013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</w:tr>
            <w:tr>
              <w:trPr/>
              <w:tc>
                <w:tcPr>
                  <w:tcW w:w="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870 000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07.07.14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21.08.2014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67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</w:tr>
            <w:tr>
              <w:trPr/>
              <w:tc>
                <w:tcPr>
                  <w:tcW w:w="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960 000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11.11.13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26.12.2013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66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</w:tr>
            <w:tr>
              <w:trPr/>
              <w:tc>
                <w:tcPr>
                  <w:tcW w:w="6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970 000</w:t>
                  </w:r>
                </w:p>
              </w:tc>
              <w:tc>
                <w:tcPr>
                  <w:tcW w:w="12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20.10.13</w:t>
                  </w:r>
                </w:p>
              </w:tc>
              <w:tc>
                <w:tcPr>
                  <w:tcW w:w="1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04.12.2013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98</w:t>
                  </w:r>
                </w:p>
              </w:tc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6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</w:tr>
          </w:tbl>
          <w:p>
            <w:pPr>
              <w:pStyle w:val="Normal"/>
              <w:widowControl w:val="false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shd w:val="clear" w:fill="FFFFFF"/>
              <w:suppressAutoHyphens w:val="true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Банк выдал ссуду размером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S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 рублей. Дата выдачи ссуды – Тн, возврата – Тк. День выдачи и день возврата считать за 1 день. Проценты рассчитываются по простой процентной ставке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i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 % годовых. Найти: точные проценты с точным числом дней ссуды; обыкновенные проценты с точным числом дней ссуды; обыкновенные проценты с приближенным числом дней ссуды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709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2.</w:t>
              <w:tab/>
              <w:t xml:space="preserve">Через Тдн дней после подписания договора должник уплатит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S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 рублей. Кредит выдан под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i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% годовых (проценты простые). Какова первоначальная сумма и дисконт?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709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3.</w:t>
              <w:tab/>
              <w:t xml:space="preserve">Через Тдн дней предприятие должно получить по векселю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S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 рублей.  Банк приобрел этот вексель с дисконтом. Банк учел вексель по учетной ставке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i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% годовых (год равен 360 дням). Определить полученную предприятием сумму и дисконт.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709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4.</w:t>
              <w:tab/>
              <w:t xml:space="preserve">В кредитном договоре на сумму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S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 рублей и сроком на Тлет зафиксирована ставка сложных процентов, равная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i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% годовых. Определить наращенную сумму.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709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5.</w:t>
              <w:tab/>
              <w:t xml:space="preserve">Ссуда размером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S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 рублей предоставлена на Тлет. Проценты сложные, ставка –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i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% годовых. Проценты начисляются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m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 раз в году. Вычислить наращенную сумму.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709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6.</w:t>
              <w:tab/>
              <w:t xml:space="preserve">Вычислить эффективную ставку процента, если банк начисляет проценты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m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 раз в году, исходя из номинальной ставки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i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% годовых.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709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7.</w:t>
              <w:tab/>
              <w:t xml:space="preserve">Определить, какой должна быть номинальная процентная ставка при начислении процентов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m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 раз в году, чтобы обеспечить эффективную ставку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i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% годовых.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ind w:left="91" w:firstLine="709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8.</w:t>
              <w:tab/>
              <w:t xml:space="preserve">Через Тлет предприятию будет выплачена сумма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S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 xml:space="preserve">рублей. Определить ее современную стоимость при условии, что применяется сложная процентная ставка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en-US"/>
              </w:rPr>
              <w:t>i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8"/>
                <w:szCs w:val="28"/>
                <w:lang w:val="ru-RU"/>
              </w:rPr>
              <w:t>% годовых.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before="0" w:after="0"/>
              <w:jc w:val="left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</w:r>
          </w:p>
        </w:tc>
      </w:tr>
    </w:tbl>
    <w:p>
      <w:pPr>
        <w:pStyle w:val="Normal"/>
        <w:shd w:val="clear" w:color="auto" w:fill="FFFFFF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Symbol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894" w:hanging="11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4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78a7"/>
    <w:pPr>
      <w:widowControl/>
      <w:suppressAutoHyphens w:val="true"/>
      <w:bidi w:val="0"/>
      <w:spacing w:lineRule="auto" w:line="240" w:before="0" w:after="0"/>
      <w:ind w:left="91"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2">
    <w:name w:val="Heading 2"/>
    <w:basedOn w:val="Normal"/>
    <w:next w:val="Normal"/>
    <w:link w:val="20"/>
    <w:uiPriority w:val="9"/>
    <w:qFormat/>
    <w:rsid w:val="005f05e3"/>
    <w:pPr>
      <w:keepNext w:val="true"/>
      <w:ind w:left="0" w:hanging="0"/>
      <w:jc w:val="center"/>
      <w:outlineLvl w:val="1"/>
    </w:pPr>
    <w:rPr>
      <w:rFonts w:ascii="Times New Roman" w:hAnsi="Times New Roman" w:eastAsia="Arial Unicode MS" w:cs="Times New Roman"/>
      <w:b/>
      <w:sz w:val="20"/>
      <w:szCs w:val="20"/>
      <w:lang w:eastAsia="ru-RU"/>
    </w:rPr>
  </w:style>
  <w:style w:type="paragraph" w:styleId="3">
    <w:name w:val="Heading 3"/>
    <w:basedOn w:val="Normal"/>
    <w:next w:val="Normal"/>
    <w:link w:val="30"/>
    <w:uiPriority w:val="9"/>
    <w:semiHidden/>
    <w:unhideWhenUsed/>
    <w:qFormat/>
    <w:rsid w:val="005f05e3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0"/>
    <w:uiPriority w:val="9"/>
    <w:semiHidden/>
    <w:unhideWhenUsed/>
    <w:qFormat/>
    <w:rsid w:val="00e52b84"/>
    <w:pPr>
      <w:keepNext w:val="true"/>
      <w:keepLines/>
      <w:spacing w:before="40" w:after="0"/>
      <w:outlineLvl w:val="3"/>
    </w:pPr>
    <w:rPr>
      <w:rFonts w:ascii="Cambria" w:hAnsi="Cambria" w:eastAsia="" w:cs="" w:asciiTheme="majorHAnsi" w:cstheme="majorBidi" w:eastAsiaTheme="majorEastAsia" w:hAnsiTheme="majorHAnsi"/>
      <w:i/>
      <w:iCs/>
      <w:color w:val="365F91" w:themeColor="accent1" w:themeShade="bf"/>
    </w:rPr>
  </w:style>
  <w:style w:type="paragraph" w:styleId="6">
    <w:name w:val="Heading 6"/>
    <w:basedOn w:val="Normal"/>
    <w:next w:val="Normal"/>
    <w:link w:val="60"/>
    <w:uiPriority w:val="9"/>
    <w:semiHidden/>
    <w:unhideWhenUsed/>
    <w:qFormat/>
    <w:rsid w:val="005b6e3d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№2_"/>
    <w:link w:val="22"/>
    <w:qFormat/>
    <w:rsid w:val="00f578a7"/>
    <w:rPr>
      <w:rFonts w:ascii="Times New Roman" w:hAnsi="Times New Roman" w:eastAsia="Times New Roman" w:cs="Times New Roman"/>
      <w:b/>
      <w:bCs/>
      <w:sz w:val="37"/>
      <w:szCs w:val="37"/>
      <w:shd w:fill="FFFFFF" w:val="clear"/>
    </w:rPr>
  </w:style>
  <w:style w:type="character" w:styleId="31" w:customStyle="1">
    <w:name w:val="Основной текст (3)_"/>
    <w:link w:val="32"/>
    <w:uiPriority w:val="99"/>
    <w:qFormat/>
    <w:locked/>
    <w:rsid w:val="00f578a7"/>
    <w:rPr>
      <w:sz w:val="17"/>
      <w:szCs w:val="17"/>
      <w:shd w:fill="FFFFFF" w:val="clear"/>
    </w:rPr>
  </w:style>
  <w:style w:type="character" w:styleId="41" w:customStyle="1">
    <w:name w:val="Основной текст (4)_"/>
    <w:link w:val="42"/>
    <w:uiPriority w:val="99"/>
    <w:qFormat/>
    <w:locked/>
    <w:rsid w:val="00f578a7"/>
    <w:rPr>
      <w:rFonts w:ascii="Times New Roman" w:hAnsi="Times New Roman"/>
      <w:sz w:val="31"/>
      <w:szCs w:val="31"/>
      <w:shd w:fill="FFFFFF" w:val="clear"/>
    </w:rPr>
  </w:style>
  <w:style w:type="character" w:styleId="ReportHead" w:customStyle="1">
    <w:name w:val="Report_Head Знак"/>
    <w:link w:val="ReportHead"/>
    <w:qFormat/>
    <w:rsid w:val="00586ad6"/>
    <w:rPr>
      <w:rFonts w:ascii="Times New Roman" w:hAnsi="Times New Roman" w:eastAsia="Times New Roman" w:cs="Times New Roman"/>
      <w:sz w:val="28"/>
      <w:szCs w:val="24"/>
      <w:lang w:val="x-none" w:eastAsia="x-none" w:bidi="ar-SA"/>
    </w:rPr>
  </w:style>
  <w:style w:type="character" w:styleId="Style10" w:customStyle="1">
    <w:name w:val="Текст выноски Знак"/>
    <w:basedOn w:val="DefaultParagraphFont"/>
    <w:link w:val="a4"/>
    <w:uiPriority w:val="99"/>
    <w:semiHidden/>
    <w:qFormat/>
    <w:rsid w:val="00b17e9e"/>
    <w:rPr>
      <w:rFonts w:ascii="Tahoma" w:hAnsi="Tahoma" w:cs="Tahoma"/>
      <w:sz w:val="16"/>
      <w:szCs w:val="16"/>
      <w:lang w:eastAsia="en-US" w:bidi="ar-SA"/>
    </w:rPr>
  </w:style>
  <w:style w:type="character" w:styleId="22" w:customStyle="1">
    <w:name w:val="Заголовок 2 Знак"/>
    <w:basedOn w:val="DefaultParagraphFont"/>
    <w:link w:val="2"/>
    <w:uiPriority w:val="9"/>
    <w:qFormat/>
    <w:rsid w:val="005f05e3"/>
    <w:rPr>
      <w:rFonts w:ascii="Times New Roman" w:hAnsi="Times New Roman" w:eastAsia="Arial Unicode MS" w:cs="Times New Roman"/>
      <w:b/>
      <w:sz w:val="20"/>
      <w:szCs w:val="20"/>
      <w:lang w:bidi="ar-SA"/>
    </w:rPr>
  </w:style>
  <w:style w:type="character" w:styleId="32" w:customStyle="1">
    <w:name w:val="Заголовок 3 Знак"/>
    <w:basedOn w:val="DefaultParagraphFont"/>
    <w:link w:val="3"/>
    <w:uiPriority w:val="9"/>
    <w:semiHidden/>
    <w:qFormat/>
    <w:rsid w:val="005f05e3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lang w:eastAsia="en-US" w:bidi="ar-SA"/>
    </w:rPr>
  </w:style>
  <w:style w:type="character" w:styleId="Style11" w:customStyle="1">
    <w:name w:val="Основной текст Знак"/>
    <w:basedOn w:val="DefaultParagraphFont"/>
    <w:link w:val="a7"/>
    <w:uiPriority w:val="99"/>
    <w:semiHidden/>
    <w:qFormat/>
    <w:rsid w:val="005b6e3d"/>
    <w:rPr>
      <w:rFonts w:ascii="Times New Roman" w:hAnsi="Times New Roman" w:eastAsia="Arial Unicode MS" w:cs="Times New Roman"/>
      <w:sz w:val="28"/>
      <w:szCs w:val="20"/>
      <w:lang w:bidi="ar-SA"/>
    </w:rPr>
  </w:style>
  <w:style w:type="character" w:styleId="61" w:customStyle="1">
    <w:name w:val="Заголовок 6 Знак"/>
    <w:basedOn w:val="DefaultParagraphFont"/>
    <w:link w:val="6"/>
    <w:uiPriority w:val="9"/>
    <w:semiHidden/>
    <w:qFormat/>
    <w:rsid w:val="005b6e3d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lang w:eastAsia="en-US" w:bidi="ar-SA"/>
    </w:rPr>
  </w:style>
  <w:style w:type="character" w:styleId="Appleconvertedspace" w:customStyle="1">
    <w:name w:val="apple-converted-space"/>
    <w:basedOn w:val="DefaultParagraphFont"/>
    <w:qFormat/>
    <w:rsid w:val="00070764"/>
    <w:rPr>
      <w:rFonts w:cs="Times New Roman"/>
    </w:rPr>
  </w:style>
  <w:style w:type="character" w:styleId="33" w:customStyle="1">
    <w:name w:val="Основной текст с отступом 3 Знак"/>
    <w:basedOn w:val="DefaultParagraphFont"/>
    <w:link w:val="33"/>
    <w:uiPriority w:val="99"/>
    <w:semiHidden/>
    <w:qFormat/>
    <w:rsid w:val="00070764"/>
    <w:rPr>
      <w:rFonts w:ascii="Arial Unicode MS" w:hAnsi="Arial Unicode MS" w:eastAsia="Arial Unicode MS" w:cs="Arial Unicode MS"/>
      <w:color w:val="000000"/>
      <w:sz w:val="16"/>
      <w:szCs w:val="16"/>
      <w:lang w:bidi="ar-SA"/>
    </w:rPr>
  </w:style>
  <w:style w:type="character" w:styleId="1" w:customStyle="1">
    <w:name w:val="Заголовок №1_"/>
    <w:link w:val="10"/>
    <w:qFormat/>
    <w:rsid w:val="00e52b84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11" w:customStyle="1">
    <w:name w:val="Основной текст11"/>
    <w:basedOn w:val="DefaultParagraphFont"/>
    <w:qFormat/>
    <w:rsid w:val="00e52b84"/>
    <w:rPr>
      <w:rFonts w:ascii="Times New Roman" w:hAnsi="Times New Roman" w:eastAsia="Times New Roman" w:cs="Times New Roman"/>
      <w:sz w:val="27"/>
      <w:szCs w:val="27"/>
      <w:shd w:fill="FFFFFF" w:val="clear"/>
    </w:rPr>
  </w:style>
  <w:style w:type="character" w:styleId="42" w:customStyle="1">
    <w:name w:val="Заголовок 4 Знак"/>
    <w:basedOn w:val="DefaultParagraphFont"/>
    <w:link w:val="4"/>
    <w:uiPriority w:val="9"/>
    <w:semiHidden/>
    <w:qFormat/>
    <w:rsid w:val="00e52b84"/>
    <w:rPr>
      <w:rFonts w:ascii="Cambria" w:hAnsi="Cambria" w:eastAsia="" w:cs="" w:asciiTheme="majorHAnsi" w:cstheme="majorBidi" w:eastAsiaTheme="majorEastAsia" w:hAnsiTheme="majorHAnsi"/>
      <w:i/>
      <w:iCs/>
      <w:color w:val="365F91" w:themeColor="accent1" w:themeShade="bf"/>
      <w:lang w:eastAsia="en-US" w:bidi="ar-SA"/>
    </w:rPr>
  </w:style>
  <w:style w:type="character" w:styleId="34" w:customStyle="1">
    <w:name w:val="Заголовок №3_"/>
    <w:basedOn w:val="DefaultParagraphFont"/>
    <w:link w:val="36"/>
    <w:qFormat/>
    <w:rsid w:val="003d5ae0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212pt" w:customStyle="1">
    <w:name w:val="Основной текст (2) + 12 pt"/>
    <w:qFormat/>
    <w:rsid w:val="00711d6b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shd w:fill="FFFFFF" w:val="clear"/>
      <w:lang w:val="ru-RU" w:eastAsia="ru-RU" w:bidi="ru-RU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3">
    <w:name w:val="Body Text"/>
    <w:basedOn w:val="Normal"/>
    <w:link w:val="a8"/>
    <w:uiPriority w:val="99"/>
    <w:semiHidden/>
    <w:rsid w:val="005b6e3d"/>
    <w:pPr>
      <w:ind w:left="0" w:hanging="0"/>
    </w:pPr>
    <w:rPr>
      <w:rFonts w:ascii="Times New Roman" w:hAnsi="Times New Roman" w:eastAsia="Arial Unicode MS" w:cs="Times New Roman"/>
      <w:sz w:val="28"/>
      <w:szCs w:val="20"/>
      <w:lang w:eastAsia="ru-RU"/>
    </w:rPr>
  </w:style>
  <w:style w:type="paragraph" w:styleId="Style14">
    <w:name w:val="List"/>
    <w:basedOn w:val="Style13"/>
    <w:pPr/>
    <w:rPr>
      <w:rFonts w:ascii="PT Astra Serif" w:hAnsi="PT Astra Serif" w:cs="Noto Sans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23" w:customStyle="1">
    <w:name w:val="Заголовок №2"/>
    <w:basedOn w:val="Normal"/>
    <w:link w:val="21"/>
    <w:qFormat/>
    <w:rsid w:val="00f578a7"/>
    <w:pPr>
      <w:widowControl w:val="false"/>
      <w:shd w:val="clear" w:color="auto" w:fill="FFFFFF"/>
      <w:spacing w:lineRule="exact" w:line="883" w:before="720" w:after="0"/>
      <w:ind w:left="0" w:hanging="0"/>
      <w:jc w:val="center"/>
      <w:outlineLvl w:val="1"/>
    </w:pPr>
    <w:rPr>
      <w:rFonts w:ascii="Times New Roman" w:hAnsi="Times New Roman" w:eastAsia="Times New Roman" w:cs="Times New Roman"/>
      <w:b/>
      <w:bCs/>
      <w:sz w:val="37"/>
      <w:szCs w:val="37"/>
      <w:lang w:eastAsia="ru-RU" w:bidi="ru-RU"/>
    </w:rPr>
  </w:style>
  <w:style w:type="paragraph" w:styleId="35" w:customStyle="1">
    <w:name w:val="Основной текст (3)"/>
    <w:basedOn w:val="Normal"/>
    <w:link w:val="31"/>
    <w:uiPriority w:val="99"/>
    <w:qFormat/>
    <w:rsid w:val="00f578a7"/>
    <w:pPr>
      <w:shd w:val="clear" w:color="auto" w:fill="FFFFFF"/>
      <w:spacing w:lineRule="exact" w:line="226" w:before="0" w:after="180"/>
      <w:ind w:left="0" w:hanging="0"/>
      <w:jc w:val="right"/>
    </w:pPr>
    <w:rPr>
      <w:sz w:val="17"/>
      <w:szCs w:val="17"/>
      <w:lang w:eastAsia="ru-RU" w:bidi="ru-RU"/>
    </w:rPr>
  </w:style>
  <w:style w:type="paragraph" w:styleId="43" w:customStyle="1">
    <w:name w:val="Основной текст (4)"/>
    <w:basedOn w:val="Normal"/>
    <w:link w:val="41"/>
    <w:uiPriority w:val="99"/>
    <w:qFormat/>
    <w:rsid w:val="00f578a7"/>
    <w:pPr>
      <w:widowControl w:val="false"/>
      <w:shd w:val="clear" w:color="auto" w:fill="FFFFFF"/>
      <w:spacing w:lineRule="exact" w:line="370" w:before="240" w:after="0"/>
      <w:ind w:left="0" w:hanging="0"/>
      <w:jc w:val="center"/>
    </w:pPr>
    <w:rPr>
      <w:rFonts w:ascii="Times New Roman" w:hAnsi="Times New Roman"/>
      <w:sz w:val="31"/>
      <w:szCs w:val="31"/>
      <w:lang w:eastAsia="ru-RU" w:bidi="ru-RU"/>
    </w:rPr>
  </w:style>
  <w:style w:type="paragraph" w:styleId="ReportHead1" w:customStyle="1">
    <w:name w:val="Report_Head"/>
    <w:basedOn w:val="Normal"/>
    <w:link w:val="ReportHead0"/>
    <w:qFormat/>
    <w:rsid w:val="00586ad6"/>
    <w:pPr>
      <w:ind w:left="0" w:hanging="0"/>
      <w:jc w:val="center"/>
    </w:pPr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17e9e"/>
    <w:pPr/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a76e0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f05e3"/>
    <w:pPr>
      <w:spacing w:before="0" w:after="0"/>
      <w:ind w:left="720" w:hanging="0"/>
      <w:contextualSpacing/>
    </w:pPr>
    <w:rPr/>
  </w:style>
  <w:style w:type="paragraph" w:styleId="ListBullet3">
    <w:name w:val="List Bullet 3"/>
    <w:basedOn w:val="Normal"/>
    <w:uiPriority w:val="99"/>
    <w:qFormat/>
    <w:rsid w:val="005b6e3d"/>
    <w:pPr>
      <w:ind w:left="566" w:hanging="283"/>
      <w:jc w:val="both"/>
    </w:pPr>
    <w:rPr>
      <w:rFonts w:ascii="Times New Roman" w:hAnsi="Times New Roman" w:eastAsia="Arial Unicode MS" w:cs="Times New Roman"/>
      <w:sz w:val="28"/>
      <w:szCs w:val="24"/>
      <w:lang w:eastAsia="ru-RU"/>
    </w:rPr>
  </w:style>
  <w:style w:type="paragraph" w:styleId="BodyTextIndent3">
    <w:name w:val="Body Text Indent 3"/>
    <w:basedOn w:val="Normal"/>
    <w:link w:val="34"/>
    <w:uiPriority w:val="99"/>
    <w:semiHidden/>
    <w:unhideWhenUsed/>
    <w:qFormat/>
    <w:rsid w:val="00070764"/>
    <w:pPr>
      <w:spacing w:before="0" w:after="120"/>
      <w:ind w:left="283" w:hanging="0"/>
    </w:pPr>
    <w:rPr>
      <w:rFonts w:ascii="Arial Unicode MS" w:hAnsi="Arial Unicode MS" w:eastAsia="Arial Unicode MS" w:cs="Arial Unicode MS"/>
      <w:color w:val="000000"/>
      <w:sz w:val="16"/>
      <w:szCs w:val="16"/>
      <w:lang w:eastAsia="ru-RU"/>
    </w:rPr>
  </w:style>
  <w:style w:type="paragraph" w:styleId="12" w:customStyle="1">
    <w:name w:val="Заголовок №1"/>
    <w:basedOn w:val="Normal"/>
    <w:link w:val="1"/>
    <w:qFormat/>
    <w:rsid w:val="00e52b84"/>
    <w:pPr>
      <w:shd w:val="clear" w:color="auto" w:fill="FFFFFF"/>
      <w:spacing w:lineRule="atLeast" w:line="0" w:before="240" w:after="0"/>
      <w:ind w:left="0" w:hanging="0"/>
      <w:outlineLvl w:val="0"/>
    </w:pPr>
    <w:rPr>
      <w:rFonts w:ascii="Times New Roman" w:hAnsi="Times New Roman" w:eastAsia="Times New Roman" w:cs="Times New Roman"/>
      <w:sz w:val="27"/>
      <w:szCs w:val="27"/>
      <w:lang w:eastAsia="ru-RU" w:bidi="ru-RU"/>
    </w:rPr>
  </w:style>
  <w:style w:type="paragraph" w:styleId="36" w:customStyle="1">
    <w:name w:val="Заголовок №3"/>
    <w:basedOn w:val="Normal"/>
    <w:link w:val="35"/>
    <w:qFormat/>
    <w:rsid w:val="003d5ae0"/>
    <w:pPr>
      <w:shd w:val="clear" w:color="auto" w:fill="FFFFFF"/>
      <w:spacing w:lineRule="atLeast" w:line="0" w:before="0" w:after="720"/>
      <w:ind w:left="0" w:hanging="0"/>
      <w:jc w:val="both"/>
      <w:outlineLvl w:val="2"/>
    </w:pPr>
    <w:rPr>
      <w:rFonts w:ascii="Times New Roman" w:hAnsi="Times New Roman" w:eastAsia="Times New Roman" w:cs="Times New Roman"/>
      <w:spacing w:val="10"/>
      <w:sz w:val="25"/>
      <w:szCs w:val="25"/>
      <w:lang w:eastAsia="ru-RU" w:bidi="ru-RU"/>
    </w:rPr>
  </w:style>
  <w:style w:type="paragraph" w:styleId="NoSpacing">
    <w:name w:val="No Spacing"/>
    <w:uiPriority w:val="1"/>
    <w:qFormat/>
    <w:rsid w:val="00711d6b"/>
    <w:pPr>
      <w:widowControl/>
      <w:suppressAutoHyphens w:val="true"/>
      <w:bidi w:val="0"/>
      <w:spacing w:lineRule="auto" w:line="240"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uiPriority w:val="59"/>
    <w:rsid w:val="00b17e9e"/>
    <w:pPr>
      <w:spacing w:after="0" w:line="240" w:lineRule="auto"/>
    </w:pPr>
    <w:rPr>
      <w:lang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17e9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5f05e3"/>
    <w:pPr>
      <w:spacing w:after="0" w:line="240" w:lineRule="auto"/>
    </w:pPr>
    <w:rPr>
      <w:rFonts w:eastAsiaTheme="minorEastAsia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25536-79D4-40A8-9C75-9B097797E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Application>LibreOffice/7.0.6.2$Linux_X86_64 LibreOffice_project/00$Build-2</Application>
  <AppVersion>15.0000</AppVersion>
  <Pages>23</Pages>
  <Words>4630</Words>
  <Characters>35165</Characters>
  <CharactersWithSpaces>39278</CharactersWithSpaces>
  <Paragraphs>616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2020-02-25T08:31:00Z</dcterms:created>
  <dc:creator>Клара Савеченкова</dc:creator>
  <dc:description/>
  <dc:language>ru-RU</dc:language>
  <cp:lastModifiedBy/>
  <cp:lastPrinted>2020-12-03T07:32:00Z</cp:lastPrinted>
  <dcterms:modified xsi:type="dcterms:W3CDTF">2022-10-28T12:42:30Z</dcterms:modified>
  <cp:revision>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